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塔城市送茶入户项目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实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施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方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案</w:t>
      </w: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项目名称：塔城市送茶入户项目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项目主管单位：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乡村振兴局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统战部（民宗局）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编制时间：202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年01月</w:t>
      </w:r>
    </w:p>
    <w:p>
      <w:pPr>
        <w:pStyle w:val="3"/>
        <w:rPr>
          <w:rFonts w:hint="eastAsia" w:ascii="仿宋_GB2312" w:hAnsi="仿宋_GB2312" w:eastAsia="仿宋_GB2312" w:cs="仿宋_GB2312"/>
        </w:rPr>
      </w:pPr>
    </w:p>
    <w:p>
      <w:pPr>
        <w:pStyle w:val="4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p>
      <w:pPr>
        <w:pStyle w:val="4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p>
      <w:pPr>
        <w:pStyle w:val="4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塔城市送茶入户项目实施方案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黑体" w:hAnsi="Times New Roman" w:eastAsia="黑体"/>
          <w:sz w:val="32"/>
          <w:szCs w:val="21"/>
        </w:rPr>
      </w:pPr>
      <w:r>
        <w:rPr>
          <w:rFonts w:hint="eastAsia" w:ascii="黑体" w:hAnsi="Times New Roman" w:eastAsia="黑体"/>
          <w:sz w:val="32"/>
          <w:szCs w:val="21"/>
        </w:rPr>
        <w:t>一、</w:t>
      </w:r>
      <w:r>
        <w:rPr>
          <w:rFonts w:ascii="黑体" w:hAnsi="Times New Roman" w:eastAsia="黑体"/>
          <w:sz w:val="32"/>
          <w:szCs w:val="21"/>
        </w:rPr>
        <w:t>基本情况</w:t>
      </w:r>
    </w:p>
    <w:p>
      <w:pPr>
        <w:spacing w:line="520" w:lineRule="exact"/>
        <w:ind w:firstLine="643" w:firstLineChars="200"/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（一）项目库编号：</w:t>
      </w:r>
      <w:r>
        <w:rPr>
          <w:rFonts w:hint="eastAsia" w:ascii="楷体_GB2312" w:hAnsi="Times New Roman" w:eastAsia="楷体_GB2312"/>
          <w:b/>
          <w:sz w:val="32"/>
          <w:szCs w:val="32"/>
        </w:rPr>
        <w:t>tc202</w:t>
      </w: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4221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/>
          <w:sz w:val="32"/>
          <w:szCs w:val="21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</w:t>
      </w:r>
      <w:r>
        <w:rPr>
          <w:rFonts w:ascii="楷体_GB2312" w:hAnsi="Times New Roman" w:eastAsia="楷体_GB2312"/>
          <w:b/>
          <w:sz w:val="32"/>
          <w:szCs w:val="21"/>
        </w:rPr>
        <w:t>二）</w:t>
      </w:r>
      <w:r>
        <w:rPr>
          <w:rFonts w:hint="eastAsia" w:ascii="楷体_GB2312" w:hAnsi="Times New Roman" w:eastAsia="楷体_GB2312"/>
          <w:b/>
          <w:sz w:val="32"/>
          <w:szCs w:val="21"/>
        </w:rPr>
        <w:t>项目名称：</w:t>
      </w:r>
      <w:r>
        <w:rPr>
          <w:rFonts w:hint="eastAsia" w:ascii="Times New Roman" w:hAnsi="Times New Roman" w:eastAsia="仿宋_GB2312"/>
          <w:sz w:val="32"/>
          <w:szCs w:val="21"/>
        </w:rPr>
        <w:t>塔城市送茶入户项目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/>
          <w:sz w:val="32"/>
          <w:szCs w:val="21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（三）建设性质：</w:t>
      </w:r>
      <w:r>
        <w:rPr>
          <w:rFonts w:hint="eastAsia" w:ascii="Times New Roman" w:hAnsi="Times New Roman" w:eastAsia="仿宋_GB2312"/>
          <w:sz w:val="32"/>
          <w:szCs w:val="21"/>
        </w:rPr>
        <w:t>新建</w:t>
      </w:r>
    </w:p>
    <w:p>
      <w:pPr>
        <w:spacing w:line="520" w:lineRule="exact"/>
        <w:ind w:firstLine="643" w:firstLineChars="200"/>
        <w:rPr>
          <w:rFonts w:hint="eastAsia" w:ascii="楷体_GB2312" w:hAnsi="Times New Roman" w:eastAsia="楷体_GB2312"/>
          <w:b w:val="0"/>
          <w:bCs/>
          <w:sz w:val="32"/>
          <w:szCs w:val="21"/>
          <w:lang w:val="en-US"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</w:t>
      </w:r>
      <w:r>
        <w:rPr>
          <w:rFonts w:ascii="楷体_GB2312" w:hAnsi="Times New Roman" w:eastAsia="楷体_GB2312"/>
          <w:b/>
          <w:sz w:val="32"/>
          <w:szCs w:val="21"/>
        </w:rPr>
        <w:t>四）项目类别：</w:t>
      </w:r>
      <w:r>
        <w:rPr>
          <w:rFonts w:hint="eastAsia" w:ascii="楷体_GB2312" w:hAnsi="Times New Roman" w:eastAsia="楷体_GB2312"/>
          <w:b w:val="0"/>
          <w:bCs/>
          <w:sz w:val="32"/>
          <w:szCs w:val="21"/>
          <w:lang w:val="en-US" w:eastAsia="zh-CN"/>
        </w:rPr>
        <w:t>其他</w:t>
      </w:r>
    </w:p>
    <w:p>
      <w:pPr>
        <w:spacing w:line="520" w:lineRule="exact"/>
        <w:ind w:firstLine="643" w:firstLineChars="200"/>
        <w:rPr>
          <w:rFonts w:ascii="Times New Roman" w:hAnsi="Times New Roman" w:eastAsia="楷体_GB2312"/>
          <w:sz w:val="32"/>
          <w:szCs w:val="21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</w:t>
      </w:r>
      <w:r>
        <w:rPr>
          <w:rFonts w:ascii="楷体_GB2312" w:hAnsi="Times New Roman" w:eastAsia="楷体_GB2312"/>
          <w:b/>
          <w:sz w:val="32"/>
          <w:szCs w:val="21"/>
        </w:rPr>
        <w:t>五）建设期限：</w:t>
      </w:r>
      <w:r>
        <w:rPr>
          <w:rFonts w:hint="eastAsia" w:ascii="Times New Roman" w:hAnsi="Times New Roman" w:eastAsia="仿宋_GB2312"/>
          <w:sz w:val="32"/>
          <w:szCs w:val="21"/>
        </w:rPr>
        <w:t>202</w:t>
      </w:r>
      <w:r>
        <w:rPr>
          <w:rFonts w:hint="eastAsia" w:ascii="Times New Roman" w:hAnsi="Times New Roman" w:eastAsia="仿宋_GB2312"/>
          <w:sz w:val="32"/>
          <w:szCs w:val="21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21"/>
        </w:rPr>
        <w:t>年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（六</w:t>
      </w:r>
      <w:r>
        <w:rPr>
          <w:rFonts w:ascii="楷体_GB2312" w:hAnsi="Times New Roman" w:eastAsia="楷体_GB2312"/>
          <w:b/>
          <w:sz w:val="32"/>
          <w:szCs w:val="21"/>
        </w:rPr>
        <w:t>）</w:t>
      </w:r>
      <w:r>
        <w:rPr>
          <w:rFonts w:hint="eastAsia" w:ascii="楷体_GB2312" w:hAnsi="Times New Roman" w:eastAsia="楷体_GB2312"/>
          <w:b/>
          <w:sz w:val="32"/>
          <w:szCs w:val="21"/>
        </w:rPr>
        <w:t>建设地点：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塔城市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（七</w:t>
      </w:r>
      <w:r>
        <w:rPr>
          <w:rFonts w:ascii="楷体_GB2312" w:hAnsi="Times New Roman" w:eastAsia="楷体_GB2312"/>
          <w:b/>
          <w:sz w:val="32"/>
          <w:szCs w:val="21"/>
        </w:rPr>
        <w:t>）建设内容及规模</w:t>
      </w:r>
      <w:r>
        <w:rPr>
          <w:rFonts w:hint="eastAsia" w:ascii="楷体_GB2312" w:hAnsi="Times New Roman" w:eastAsia="楷体_GB2312"/>
          <w:b/>
          <w:sz w:val="32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为塔城市现有的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4023人残疾人群体</w:t>
      </w:r>
      <w:r>
        <w:rPr>
          <w:rFonts w:hint="eastAsia" w:ascii="仿宋" w:hAnsi="仿宋" w:eastAsia="仿宋" w:cs="仿宋"/>
          <w:sz w:val="32"/>
          <w:szCs w:val="32"/>
        </w:rPr>
        <w:t>送茶入户，每人3公斤，每公斤30元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（最终以当时市场价为准实施项目）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/>
          <w:sz w:val="32"/>
          <w:szCs w:val="21"/>
          <w:lang w:val="en-US"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（八</w:t>
      </w:r>
      <w:r>
        <w:rPr>
          <w:rFonts w:ascii="楷体_GB2312" w:hAnsi="Times New Roman" w:eastAsia="楷体_GB2312"/>
          <w:b/>
          <w:sz w:val="32"/>
          <w:szCs w:val="21"/>
        </w:rPr>
        <w:t>）</w:t>
      </w:r>
      <w:r>
        <w:rPr>
          <w:rFonts w:hint="eastAsia" w:ascii="楷体_GB2312" w:hAnsi="Times New Roman" w:eastAsia="楷体_GB2312"/>
          <w:b/>
          <w:sz w:val="32"/>
          <w:szCs w:val="21"/>
        </w:rPr>
        <w:t>建设单位：</w:t>
      </w:r>
      <w:r>
        <w:rPr>
          <w:rFonts w:hint="eastAsia" w:ascii="Times New Roman" w:hAnsi="Times New Roman" w:eastAsia="仿宋_GB2312"/>
          <w:sz w:val="32"/>
          <w:szCs w:val="21"/>
          <w:lang w:val="en-US" w:eastAsia="zh-CN"/>
        </w:rPr>
        <w:t>塔城市统战部（民宗局）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/>
          <w:sz w:val="32"/>
          <w:szCs w:val="21"/>
          <w:lang w:val="en-US" w:eastAsia="zh-CN"/>
        </w:rPr>
      </w:pPr>
      <w:r>
        <w:rPr>
          <w:rFonts w:hint="eastAsia" w:ascii="楷体_GB2312" w:hAnsi="Times New Roman" w:eastAsia="楷体_GB2312"/>
          <w:b/>
          <w:sz w:val="32"/>
          <w:szCs w:val="21"/>
        </w:rPr>
        <w:t>（九</w:t>
      </w:r>
      <w:r>
        <w:rPr>
          <w:rFonts w:ascii="楷体_GB2312" w:hAnsi="Times New Roman" w:eastAsia="楷体_GB2312"/>
          <w:b/>
          <w:sz w:val="32"/>
          <w:szCs w:val="21"/>
        </w:rPr>
        <w:t>）</w:t>
      </w:r>
      <w:r>
        <w:rPr>
          <w:rFonts w:hint="eastAsia" w:ascii="楷体_GB2312" w:hAnsi="Times New Roman" w:eastAsia="楷体_GB2312"/>
          <w:b/>
          <w:sz w:val="32"/>
          <w:szCs w:val="21"/>
        </w:rPr>
        <w:t>项目负责人：</w:t>
      </w:r>
      <w:r>
        <w:rPr>
          <w:rFonts w:hint="eastAsia" w:ascii="Times New Roman" w:hAnsi="Times New Roman" w:eastAsia="仿宋_GB2312"/>
          <w:sz w:val="32"/>
          <w:szCs w:val="21"/>
          <w:lang w:val="en-US" w:eastAsia="zh-CN"/>
        </w:rPr>
        <w:t>麻俊奇</w:t>
      </w:r>
    </w:p>
    <w:p>
      <w:pPr>
        <w:spacing w:line="520" w:lineRule="exact"/>
        <w:ind w:firstLine="640" w:firstLineChars="200"/>
        <w:rPr>
          <w:rFonts w:ascii="黑体" w:hAnsi="Times New Roman" w:eastAsia="黑体"/>
          <w:sz w:val="32"/>
          <w:szCs w:val="21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ascii="黑体" w:eastAsia="黑体"/>
          <w:sz w:val="32"/>
          <w:szCs w:val="32"/>
        </w:rPr>
        <w:t>项目建设规模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为塔城市现有的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4023人残疾人群体</w:t>
      </w:r>
      <w:r>
        <w:rPr>
          <w:rFonts w:hint="eastAsia" w:ascii="仿宋" w:hAnsi="仿宋" w:eastAsia="仿宋" w:cs="仿宋"/>
          <w:sz w:val="32"/>
          <w:szCs w:val="32"/>
        </w:rPr>
        <w:t>送茶入户，每人3公斤，每公斤30元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（最终以当时市场价为准实施项目）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21"/>
        </w:rPr>
      </w:pPr>
      <w:r>
        <w:rPr>
          <w:rFonts w:hint="eastAsia" w:ascii="黑体" w:hAnsi="Times New Roman" w:eastAsia="黑体"/>
          <w:sz w:val="32"/>
          <w:szCs w:val="21"/>
        </w:rPr>
        <w:t>三、投资概算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1"/>
        </w:rPr>
        <w:t>项目总投资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21"/>
        </w:rPr>
        <w:t>万元</w:t>
      </w:r>
      <w:r>
        <w:rPr>
          <w:rFonts w:hint="eastAsia" w:ascii="Times New Roman" w:hAnsi="Times New Roman" w:eastAsia="仿宋_GB2312"/>
          <w:sz w:val="32"/>
          <w:szCs w:val="21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21"/>
          <w:lang w:val="en-US" w:eastAsia="zh-CN"/>
        </w:rPr>
        <w:t>中央衔接资金（少数民族发展项目资金）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四、项目实施的基本思路</w:t>
      </w:r>
    </w:p>
    <w:p>
      <w:pPr>
        <w:spacing w:line="560" w:lineRule="exact"/>
        <w:ind w:firstLine="643" w:firstLineChars="20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1、基本思路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通过此项目，为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全市残疾人群体，</w:t>
      </w:r>
      <w:r>
        <w:rPr>
          <w:rFonts w:hint="eastAsia" w:ascii="仿宋_GB2312" w:eastAsia="仿宋_GB2312"/>
          <w:sz w:val="32"/>
          <w:szCs w:val="32"/>
        </w:rPr>
        <w:t>提供安全的低氟茶叶，提高生活幸福指数，丰富少数民族群众“茶文化”，增强群众饮茶营养均衡，“低氟茶”补充身体微量元素。</w:t>
      </w:r>
    </w:p>
    <w:p>
      <w:pPr>
        <w:spacing w:line="560" w:lineRule="exact"/>
        <w:ind w:firstLine="710" w:firstLineChars="221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2、规划准备阶段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项目前期论证→提出项目实施方案→项目评审→立项批准→制定项目实施方案→项目实施进行政府采购→项目验收→项目完成投入使用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3、建设实施阶段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项目计划下达后，预计项目建设期为3个月，其中：编订实施方案等前期工作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个月，将于6月底完成采购。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</w:t>
      </w:r>
      <w:r>
        <w:rPr>
          <w:rFonts w:hint="eastAsia" w:ascii="黑体" w:eastAsia="黑体"/>
          <w:sz w:val="32"/>
          <w:szCs w:val="32"/>
        </w:rPr>
        <w:t>保障措施</w:t>
      </w:r>
    </w:p>
    <w:p>
      <w:pPr>
        <w:spacing w:line="52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（一）管理措施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项目实施过程中，层层签订项目实施责任状，明确目标任务及工作要求，按照一级抓一级的方式，加强涉及项目实施的各部门之间的联系，定期对项目实施情况、建设项目情况进行调度督促。</w:t>
      </w:r>
    </w:p>
    <w:p>
      <w:pPr>
        <w:spacing w:line="52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（二）资金管理措施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1、资金报账。发放资料等物资报账需将物资购置发票作为报账依据。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2、资金管理。项目资金实行专账管理，在资金使用上，按照项目进度和实施方案邀请权，提出书面资金使用计划及拨款，经县财经领导小组办公室审查符合建设要求后方可支付。</w:t>
      </w:r>
    </w:p>
    <w:p>
      <w:pPr>
        <w:spacing w:line="52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（三）监督措施</w:t>
      </w:r>
    </w:p>
    <w:p>
      <w:pPr>
        <w:spacing w:line="520" w:lineRule="exact"/>
        <w:ind w:firstLine="640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项目建设中定期或不定期对项目进行检查和监督，建立健全项目公示制度，建标立牌等，确保项目资金惠及群众。</w:t>
      </w:r>
      <w:r>
        <w:rPr>
          <w:rFonts w:hint="eastAsia" w:ascii="楷体_GB2312" w:hAnsi="黑体" w:eastAsia="楷体_GB2312"/>
          <w:b/>
          <w:sz w:val="32"/>
          <w:szCs w:val="32"/>
        </w:rPr>
        <w:t>（五）组织验收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项目完工后及时整理项目材料和档案，按照建设目标逐项验收。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风险分析</w:t>
      </w:r>
    </w:p>
    <w:p>
      <w:pPr>
        <w:spacing w:line="560" w:lineRule="exact"/>
        <w:ind w:left="420" w:left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1、主要风险因素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1.自身管理风险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在项目实施阶段，要注意防范人为风险、经济风险、自然风险这三大自身风险：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人为风险表现为不懂得基建程序，不遵循客观规律，导致决策偏差，行为不规范，对监理认识上的缺陷带来诸多问题等；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项目经济风险表现为项目资金不到位，资金使用效率较低，经济环境、通货膨胀导致物价变动等；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自然风险表现为工程所在地客观存在意外情况。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2.项目建设参与单位诚信风险分析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在项目建设过程中，政府以及委托的项目管理公司要与供应商等多个单位进行合作，合作过程中面临参建单位诚信风险，表现为：供货商货物以假乱真，以次充好；降低造价，失去诚信。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3.项目资金、质量和进度风险分析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项目在实施阶段，要预防资金、质量、进度三大风险，其中：资金风险表现为政府划拨资金不到位，资金截留或者挪用，项目不能按时投入使用等。 </w:t>
      </w:r>
    </w:p>
    <w:p>
      <w:pPr>
        <w:pStyle w:val="14"/>
        <w:spacing w:line="560" w:lineRule="exact"/>
        <w:ind w:firstLine="643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Toc131882015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2、防范化解措施</w:t>
      </w:r>
      <w:bookmarkEnd w:id="0"/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1.自身管理风险防范对策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自身的风险是滋生其他风险的基础，只有比较客观的认识自身的风险，才能防范其他风险的产生，防范自身风险对策，建议如下：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（1）项目实施过程中，业主方委托社会监理单位及政府代表全过程进行监督，规范其建设行为；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（2）防止在项目实施过程中资金超出预算，在项目建设前期进行科学分析，对影响造价较大的因素重点分析；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（3）避免自然风险的影响，结合工程所在地实际情况加强对关键点的控制。 </w:t>
      </w:r>
    </w:p>
    <w:p>
      <w:pPr>
        <w:pStyle w:val="14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2.项目资金、质量和进度风险防范对策 </w:t>
      </w:r>
    </w:p>
    <w:p>
      <w:pPr>
        <w:pStyle w:val="14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资金、质量、进度三大风险一脉相承，资金风险是导致质量、进度风险的</w:t>
      </w:r>
      <w:r>
        <w:rPr>
          <w:rFonts w:hint="eastAsia" w:ascii="仿宋_GB2312" w:hAnsi="仿宋_GB2312" w:eastAsia="仿宋_GB2312" w:cs="仿宋_GB2312"/>
          <w:sz w:val="28"/>
          <w:szCs w:val="28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。为了确保项目能顺利实施，防止三大风险产生，可制定相应的对策。 </w:t>
      </w:r>
    </w:p>
    <w:p>
      <w:pPr>
        <w:pStyle w:val="14"/>
        <w:spacing w:line="500" w:lineRule="exact"/>
        <w:ind w:firstLine="643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七、社会效益</w:t>
      </w:r>
    </w:p>
    <w:p>
      <w:pPr>
        <w:pStyle w:val="14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1、生活型基础设施主要服务于农民生活，可以改善当前农村居住环境，可以美化村庄面貌，还可以提升农民物质文明水平，推动精神文明建设向前发展为广大农村居民参与经济发展过程，分享经济发展的成果</w:t>
      </w:r>
    </w:p>
    <w:p>
      <w:pPr>
        <w:pStyle w:val="14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增加当地居民就业机会，提高群众生活质量和水平，农村基础设施建设将使农村经济和社会事业长期受益，农村经济的发展进而可以扩大全国的市场创造必要条件。</w:t>
      </w:r>
    </w:p>
    <w:p>
      <w:pPr>
        <w:pStyle w:val="14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2、本项目建设将会规模，不断为全国经济增长提供新的空间，提升经济发展水平。符合稳疆安疆的战略要求</w:t>
      </w:r>
    </w:p>
    <w:p>
      <w:pPr>
        <w:pStyle w:val="14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3、通过项目实施，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残疾群体受益户数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3787</w:t>
      </w:r>
      <w:r>
        <w:rPr>
          <w:rFonts w:hint="eastAsia" w:ascii="仿宋_GB2312" w:hAnsi="仿宋_GB2312" w:eastAsia="仿宋_GB2312" w:cs="仿宋_GB2312"/>
          <w:sz w:val="32"/>
          <w:szCs w:val="32"/>
        </w:rPr>
        <w:t>户，受益人口数达到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4023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tbl>
      <w:tblPr>
        <w:tblStyle w:val="10"/>
        <w:tblpPr w:leftFromText="180" w:rightFromText="180" w:vertAnchor="text" w:horzAnchor="page" w:tblpX="286" w:tblpY="378"/>
        <w:tblOverlap w:val="never"/>
        <w:tblW w:w="11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238"/>
        <w:gridCol w:w="2578"/>
        <w:gridCol w:w="3514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62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1" w:name="_Toc131882017"/>
            <w:bookmarkStart w:id="2" w:name="_Toc26125"/>
            <w:bookmarkStart w:id="3" w:name="_Toc121484322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622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9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塔城市送茶入户项目</w:t>
            </w:r>
          </w:p>
        </w:tc>
        <w:tc>
          <w:tcPr>
            <w:tcW w:w="35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35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麻俊奇 15349946499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塔城市乡村振兴局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塔城市统战部（民宗局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7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7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7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10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37万元，为塔城市现有的4023人残疾人群体送茶入户，每人3公斤，每公斤30元（最终以当时市场价为准实施项目），通过此项目，改善了残疾群众生活质量，受益户满意度达到95%。为全市残疾人群体，提供安全的低氟茶叶，提高生活幸福指数，丰富少数民族群众“茶文化”，增强群众饮茶营养均衡，“低氟茶”补充身体微量元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新购低氟茯茶重量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=12069公斤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★★★验收合格率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项目采购时间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项目完成发放时间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新购低氟茯茶成本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≤30元/公斤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5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残疾群体生活质量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★★★受益人口数</w:t>
            </w:r>
          </w:p>
        </w:tc>
        <w:tc>
          <w:tcPr>
            <w:tcW w:w="35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≥4023人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受益群众户数</w:t>
            </w:r>
          </w:p>
        </w:tc>
        <w:tc>
          <w:tcPr>
            <w:tcW w:w="359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≥3787户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受益户满意度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注：1.“其他资金”是指与财政拨款共同用于同一脱贫攻坚项目的单位自有资金、社会资金等。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2.各地请根据实际情况，选择适合的二级指标进行填报，并细化为三级指标和指标值。                      3.“财政拨款”，项目涉及的全部财政资金投入。</w:t>
            </w:r>
          </w:p>
        </w:tc>
      </w:tr>
    </w:tbl>
    <w:tbl>
      <w:tblPr>
        <w:tblW w:w="11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注：1.“其他资金”是指与财政拨款共同用于同一脱贫攻坚项目的单位自有资金、社会资金等。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2.各地请根据实际情况，选择适合的二级指标进行填报，并细化为三级指标和指标值。                      3.“财政拨款”，项目涉及的全部财政资金投入。</w:t>
            </w:r>
          </w:p>
        </w:tc>
      </w:tr>
    </w:tbl>
    <w:p>
      <w:pPr>
        <w:pStyle w:val="14"/>
        <w:spacing w:line="500" w:lineRule="exact"/>
        <w:ind w:firstLine="419" w:firstLineChars="149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bookmarkEnd w:id="1"/>
    <w:bookmarkEnd w:id="2"/>
    <w:bookmarkEnd w:id="3"/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47535-C661-4E8C-84CA-BF42E9CB85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Yb2gj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2" w:fontKey="{743FA102-D1DB-48D9-AD54-80E940D7BD67}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3" w:fontKey="{02E8A7D5-BC11-4615-895C-703207697B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0841359-E248-4384-B88E-4B4077D3B7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Yb2g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90050395">
    <w:nsid w:val="D005F15B"/>
    <w:multiLevelType w:val="singleLevel"/>
    <w:tmpl w:val="D005F15B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4900503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mIyMzMwYWQ4Y2FlNGQ4ZTNjZWViODk1Yjc3Y2YifQ=="/>
  </w:docVars>
  <w:rsids>
    <w:rsidRoot w:val="001629EB"/>
    <w:rsid w:val="00000028"/>
    <w:rsid w:val="0000239E"/>
    <w:rsid w:val="00031F3E"/>
    <w:rsid w:val="00034BE5"/>
    <w:rsid w:val="00035CB4"/>
    <w:rsid w:val="000F539E"/>
    <w:rsid w:val="00113F79"/>
    <w:rsid w:val="0011474A"/>
    <w:rsid w:val="0014334A"/>
    <w:rsid w:val="001629EB"/>
    <w:rsid w:val="00192D34"/>
    <w:rsid w:val="002229BC"/>
    <w:rsid w:val="002C189E"/>
    <w:rsid w:val="002C32A6"/>
    <w:rsid w:val="002C46F5"/>
    <w:rsid w:val="003A457E"/>
    <w:rsid w:val="003B61E8"/>
    <w:rsid w:val="00427A36"/>
    <w:rsid w:val="00477704"/>
    <w:rsid w:val="004E7B94"/>
    <w:rsid w:val="0050636D"/>
    <w:rsid w:val="00522BDF"/>
    <w:rsid w:val="005814AF"/>
    <w:rsid w:val="00617170"/>
    <w:rsid w:val="00673F2C"/>
    <w:rsid w:val="006C6266"/>
    <w:rsid w:val="006D71A6"/>
    <w:rsid w:val="00716DA7"/>
    <w:rsid w:val="00764DAF"/>
    <w:rsid w:val="007F6748"/>
    <w:rsid w:val="008944CD"/>
    <w:rsid w:val="008E456C"/>
    <w:rsid w:val="0091631F"/>
    <w:rsid w:val="009917DE"/>
    <w:rsid w:val="009928E0"/>
    <w:rsid w:val="009E1231"/>
    <w:rsid w:val="00A00747"/>
    <w:rsid w:val="00A85336"/>
    <w:rsid w:val="00A94A0D"/>
    <w:rsid w:val="00BC4CFD"/>
    <w:rsid w:val="00BC4D80"/>
    <w:rsid w:val="00BE6A5D"/>
    <w:rsid w:val="00C03E65"/>
    <w:rsid w:val="00C14000"/>
    <w:rsid w:val="00CA54ED"/>
    <w:rsid w:val="00CB7A05"/>
    <w:rsid w:val="00D925AA"/>
    <w:rsid w:val="00DA662E"/>
    <w:rsid w:val="00DE67A7"/>
    <w:rsid w:val="00E17078"/>
    <w:rsid w:val="00E45F9A"/>
    <w:rsid w:val="00E66D7E"/>
    <w:rsid w:val="00E8208F"/>
    <w:rsid w:val="00E82770"/>
    <w:rsid w:val="00F25361"/>
    <w:rsid w:val="00F32C83"/>
    <w:rsid w:val="013A4A07"/>
    <w:rsid w:val="014D4B53"/>
    <w:rsid w:val="02B36B48"/>
    <w:rsid w:val="03BC6B6C"/>
    <w:rsid w:val="04AF6760"/>
    <w:rsid w:val="07813275"/>
    <w:rsid w:val="09074C0D"/>
    <w:rsid w:val="090D27A5"/>
    <w:rsid w:val="0B9542A1"/>
    <w:rsid w:val="0CBC594B"/>
    <w:rsid w:val="0CDF10ED"/>
    <w:rsid w:val="0D1633A0"/>
    <w:rsid w:val="0DA2293E"/>
    <w:rsid w:val="0DD17485"/>
    <w:rsid w:val="106F515A"/>
    <w:rsid w:val="12544CE9"/>
    <w:rsid w:val="128C6F86"/>
    <w:rsid w:val="133F646D"/>
    <w:rsid w:val="141B4447"/>
    <w:rsid w:val="14C53516"/>
    <w:rsid w:val="15C02245"/>
    <w:rsid w:val="16101832"/>
    <w:rsid w:val="16222A22"/>
    <w:rsid w:val="17E84EEF"/>
    <w:rsid w:val="190D426F"/>
    <w:rsid w:val="196A45C3"/>
    <w:rsid w:val="1A2D7DF2"/>
    <w:rsid w:val="1AAF4030"/>
    <w:rsid w:val="1BD14CC5"/>
    <w:rsid w:val="1C447CCA"/>
    <w:rsid w:val="1E6D72EC"/>
    <w:rsid w:val="1FD24A4F"/>
    <w:rsid w:val="1FD3572D"/>
    <w:rsid w:val="205969B9"/>
    <w:rsid w:val="20DD6DE5"/>
    <w:rsid w:val="210D7685"/>
    <w:rsid w:val="215260C3"/>
    <w:rsid w:val="22FD3048"/>
    <w:rsid w:val="23F24972"/>
    <w:rsid w:val="24286D2B"/>
    <w:rsid w:val="25BD2D8D"/>
    <w:rsid w:val="263C4470"/>
    <w:rsid w:val="267D0819"/>
    <w:rsid w:val="26D046A2"/>
    <w:rsid w:val="283577E0"/>
    <w:rsid w:val="285D46A3"/>
    <w:rsid w:val="2A2331A1"/>
    <w:rsid w:val="2A8617BD"/>
    <w:rsid w:val="2A8F4468"/>
    <w:rsid w:val="2ADE502E"/>
    <w:rsid w:val="2B2263A6"/>
    <w:rsid w:val="2B6F4AA8"/>
    <w:rsid w:val="2BBD5E75"/>
    <w:rsid w:val="2C3D78CD"/>
    <w:rsid w:val="2DC43592"/>
    <w:rsid w:val="2E875E58"/>
    <w:rsid w:val="30984862"/>
    <w:rsid w:val="31FA7F90"/>
    <w:rsid w:val="32D54D7C"/>
    <w:rsid w:val="3417413A"/>
    <w:rsid w:val="37B05D88"/>
    <w:rsid w:val="397E4BB8"/>
    <w:rsid w:val="39E26D1F"/>
    <w:rsid w:val="3B023F8F"/>
    <w:rsid w:val="3DE22850"/>
    <w:rsid w:val="3E7D2733"/>
    <w:rsid w:val="3F5E6C02"/>
    <w:rsid w:val="404B5423"/>
    <w:rsid w:val="41C60CDA"/>
    <w:rsid w:val="42572CAE"/>
    <w:rsid w:val="43DF4240"/>
    <w:rsid w:val="44396DAA"/>
    <w:rsid w:val="496579BE"/>
    <w:rsid w:val="4A016EBB"/>
    <w:rsid w:val="4C04499A"/>
    <w:rsid w:val="4C55200B"/>
    <w:rsid w:val="4F201AD7"/>
    <w:rsid w:val="51154388"/>
    <w:rsid w:val="511E3E11"/>
    <w:rsid w:val="51502F6B"/>
    <w:rsid w:val="51615DC3"/>
    <w:rsid w:val="527A2B73"/>
    <w:rsid w:val="530F5966"/>
    <w:rsid w:val="53FE6B93"/>
    <w:rsid w:val="549F0461"/>
    <w:rsid w:val="55ED4C68"/>
    <w:rsid w:val="56BC2D7D"/>
    <w:rsid w:val="58923E03"/>
    <w:rsid w:val="5930483E"/>
    <w:rsid w:val="59C25AA7"/>
    <w:rsid w:val="5A1436ED"/>
    <w:rsid w:val="5B7364DB"/>
    <w:rsid w:val="5BC863C9"/>
    <w:rsid w:val="5BD742E7"/>
    <w:rsid w:val="5C423818"/>
    <w:rsid w:val="5E7804C0"/>
    <w:rsid w:val="5F602B07"/>
    <w:rsid w:val="5FCC6FB0"/>
    <w:rsid w:val="5FEF7014"/>
    <w:rsid w:val="60A75DD3"/>
    <w:rsid w:val="611C0143"/>
    <w:rsid w:val="620E0D6B"/>
    <w:rsid w:val="62F00A89"/>
    <w:rsid w:val="67CC1DBB"/>
    <w:rsid w:val="69552C7A"/>
    <w:rsid w:val="6A5903EA"/>
    <w:rsid w:val="6AA62F8B"/>
    <w:rsid w:val="6B460828"/>
    <w:rsid w:val="6C5E0930"/>
    <w:rsid w:val="6EEF7100"/>
    <w:rsid w:val="6F2A63A6"/>
    <w:rsid w:val="701506C0"/>
    <w:rsid w:val="71770CB7"/>
    <w:rsid w:val="72675107"/>
    <w:rsid w:val="74161E31"/>
    <w:rsid w:val="745A24CC"/>
    <w:rsid w:val="74D03BB2"/>
    <w:rsid w:val="74E33E1A"/>
    <w:rsid w:val="752502AE"/>
    <w:rsid w:val="76EA1150"/>
    <w:rsid w:val="77C32BD2"/>
    <w:rsid w:val="77E71111"/>
    <w:rsid w:val="78251947"/>
    <w:rsid w:val="7ABC4611"/>
    <w:rsid w:val="7B6C0923"/>
    <w:rsid w:val="7CF27ED8"/>
    <w:rsid w:val="7D311357"/>
    <w:rsid w:val="7D4F7FBD"/>
    <w:rsid w:val="7DEE595A"/>
    <w:rsid w:val="7E6728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line="540" w:lineRule="exact"/>
    </w:pPr>
    <w:rPr>
      <w:rFonts w:ascii="Calibri" w:hAnsi="Calibri" w:eastAsia="仿宋_GB2312"/>
      <w:sz w:val="3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0163AF"/>
      <w:u w:val="single"/>
    </w:rPr>
  </w:style>
  <w:style w:type="character" w:styleId="9">
    <w:name w:val="Hyperlink"/>
    <w:basedOn w:val="7"/>
    <w:unhideWhenUsed/>
    <w:qFormat/>
    <w:uiPriority w:val="99"/>
    <w:rPr>
      <w:color w:val="0163A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Office_10.1.0.6081_F1E327BC-269C-435d-A152-05C5408002CA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2019-01-14T08:21:00Z</dcterms:created>
  <dc:creator>Windows 用户</dc:creator>
  <cp:lastModifiedBy>Administrator</cp:lastModifiedBy>
  <cp:lastPrinted>2022-02-07T09:53:00Z</cp:lastPrinted>
  <dcterms:modified xsi:type="dcterms:W3CDTF">2024-02-04T08:59:53Z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2052-10.1.0.6081</vt:lpwstr>
  </property>
  <property fmtid="{D5CDD505-2E9C-101B-9397-08002B2CF9AE}" pid="3" name="ICV">
    <vt:lpwstr>90ECFEB7D05D47919506592E94CD7E5D</vt:lpwstr>
  </property>
</Properties>
</file>