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
          <w:color w:val="auto"/>
          <w:kern w:val="1"/>
          <w:sz w:val="36"/>
          <w:szCs w:val="36"/>
          <w:highlight w:val="none"/>
        </w:rPr>
      </w:pPr>
      <w:r>
        <w:rPr>
          <w:rFonts w:hint="eastAsia" w:ascii="仿宋_GB2312" w:hAnsi="仿宋_GB2312" w:eastAsia="仿宋_GB2312" w:cs="仿宋_GB2312"/>
          <w:b/>
          <w:color w:val="auto"/>
          <w:kern w:val="1"/>
          <w:sz w:val="36"/>
          <w:szCs w:val="36"/>
          <w:highlight w:val="none"/>
        </w:rPr>
        <w:t>项目库编号：</w:t>
      </w:r>
      <w:r>
        <w:rPr>
          <w:rFonts w:hint="eastAsia" w:ascii="仿宋_GB2312" w:hAnsi="仿宋_GB2312" w:eastAsia="仿宋_GB2312" w:cs="仿宋_GB2312"/>
          <w:b/>
          <w:color w:val="auto"/>
          <w:kern w:val="1"/>
          <w:sz w:val="36"/>
          <w:szCs w:val="36"/>
          <w:highlight w:val="none"/>
          <w:u w:val="single"/>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r>
        <w:rPr>
          <w:rFonts w:hint="default" w:ascii="仿宋_GB2312" w:hAnsi="仿宋_GB2312" w:eastAsia="仿宋_GB2312" w:cs="仿宋_GB2312"/>
          <w:b/>
          <w:bCs/>
          <w:color w:val="auto"/>
          <w:sz w:val="36"/>
          <w:szCs w:val="36"/>
          <w:highlight w:val="none"/>
          <w:u w:val="single"/>
          <w:lang w:val="en-US" w:eastAsia="zh-CN"/>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塔城市阿西尔乡</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202</w:t>
      </w:r>
      <w:r>
        <w:rPr>
          <w:rFonts w:hint="default"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年度</w:t>
      </w:r>
      <w:r>
        <w:rPr>
          <w:rFonts w:hint="eastAsia" w:ascii="仿宋_GB2312" w:hAnsi="仿宋_GB2312" w:eastAsia="仿宋_GB2312" w:cs="仿宋_GB2312"/>
          <w:b/>
          <w:bCs/>
          <w:color w:val="auto"/>
          <w:sz w:val="36"/>
          <w:szCs w:val="36"/>
          <w:highlight w:val="none"/>
          <w:lang w:eastAsia="zh-CN"/>
        </w:rPr>
        <w:t>阿西尔乡一棵树村污水管网建设项目</w:t>
      </w: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实施方案</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Style w:val="2"/>
        <w:pageBreakBefore w:val="0"/>
        <w:kinsoku/>
        <w:wordWrap/>
        <w:overflowPunct/>
        <w:topLinePunct w:val="0"/>
        <w:autoSpaceDE/>
        <w:autoSpaceDN/>
        <w:bidi w:val="0"/>
        <w:adjustRightInd/>
        <w:snapToGrid/>
        <w:spacing w:line="560" w:lineRule="exact"/>
        <w:textAlignment w:val="auto"/>
        <w:rPr>
          <w:color w:val="auto"/>
          <w:highlight w:val="none"/>
        </w:rPr>
      </w:pPr>
    </w:p>
    <w:p>
      <w:pPr>
        <w:rPr>
          <w:highlight w:val="none"/>
        </w:rPr>
      </w:pPr>
    </w:p>
    <w:p>
      <w:pPr>
        <w:pStyle w:val="2"/>
        <w:rPr>
          <w:highlight w:val="none"/>
        </w:rPr>
      </w:pPr>
    </w:p>
    <w:p>
      <w:pPr>
        <w:rPr>
          <w:highlight w:val="none"/>
        </w:rPr>
      </w:pPr>
    </w:p>
    <w:p>
      <w:pPr>
        <w:pStyle w:val="2"/>
        <w:rPr>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项目名称：</w:t>
      </w:r>
      <w:r>
        <w:rPr>
          <w:rFonts w:hint="eastAsia" w:ascii="仿宋_GB2312" w:hAnsi="仿宋_GB2312" w:eastAsia="仿宋_GB2312" w:cs="仿宋_GB2312"/>
          <w:b/>
          <w:bCs/>
          <w:color w:val="auto"/>
          <w:sz w:val="36"/>
          <w:szCs w:val="36"/>
          <w:highlight w:val="none"/>
          <w:lang w:eastAsia="zh-CN"/>
        </w:rPr>
        <w:t>阿西尔乡一棵树村污水管网建设项目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主管单位：塔城市</w:t>
      </w:r>
      <w:r>
        <w:rPr>
          <w:rFonts w:hint="eastAsia" w:ascii="仿宋_GB2312" w:hAnsi="仿宋_GB2312" w:eastAsia="仿宋_GB2312" w:cs="仿宋_GB2312"/>
          <w:b/>
          <w:bCs/>
          <w:color w:val="auto"/>
          <w:sz w:val="36"/>
          <w:szCs w:val="36"/>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项目实施单位：阿西尔乡人民政府</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编制时间：202</w:t>
      </w:r>
      <w:r>
        <w:rPr>
          <w:rFonts w:hint="eastAsia"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w:t>
      </w:r>
      <w:r>
        <w:rPr>
          <w:rFonts w:hint="eastAsia" w:ascii="仿宋_GB2312" w:hAnsi="仿宋_GB2312" w:eastAsia="仿宋_GB2312" w:cs="仿宋_GB2312"/>
          <w:b/>
          <w:bCs/>
          <w:color w:val="auto"/>
          <w:sz w:val="36"/>
          <w:szCs w:val="36"/>
          <w:highlight w:val="none"/>
          <w:lang w:val="en-US" w:eastAsia="zh-CN"/>
        </w:rPr>
        <w:t>10</w:t>
      </w:r>
      <w:r>
        <w:rPr>
          <w:rFonts w:hint="eastAsia" w:ascii="仿宋_GB2312" w:hAnsi="仿宋_GB2312" w:eastAsia="仿宋_GB2312" w:cs="仿宋_GB2312"/>
          <w:b/>
          <w:bCs/>
          <w:color w:val="auto"/>
          <w:sz w:val="36"/>
          <w:szCs w:val="36"/>
          <w:highlight w:val="none"/>
        </w:rPr>
        <w:t>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1.基本情况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1.1项目库编号</w:t>
      </w:r>
      <w:r>
        <w:rPr>
          <w:rFonts w:hint="eastAsia" w:ascii="仿宋_GB2312" w:hAnsi="仿宋_GB2312" w:eastAsia="仿宋_GB2312" w:cs="仿宋_GB2312"/>
          <w:b/>
          <w:bCs/>
          <w:color w:val="auto"/>
          <w:sz w:val="32"/>
          <w:szCs w:val="32"/>
          <w:highlight w:val="none"/>
          <w:lang w:eastAsia="zh-CN"/>
        </w:rPr>
        <w:t>：tc2024037</w:t>
      </w:r>
      <w:bookmarkStart w:id="0" w:name="_GoBack"/>
      <w:bookmarkEnd w:id="0"/>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1.2项目名称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阿西尔乡一棵树村污水管网建设项目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1.3项目主管单位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塔城市</w:t>
      </w:r>
      <w:r>
        <w:rPr>
          <w:rFonts w:hint="eastAsia" w:ascii="仿宋_GB2312" w:hAnsi="仿宋_GB2312" w:eastAsia="仿宋_GB2312" w:cs="仿宋_GB2312"/>
          <w:color w:val="auto"/>
          <w:sz w:val="32"/>
          <w:szCs w:val="32"/>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1.4项目实施单位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阿西尔乡人民政府   </w:t>
      </w:r>
      <w:r>
        <w:rPr>
          <w:rFonts w:hint="eastAsia" w:ascii="仿宋_GB2312" w:hAnsi="仿宋_GB2312" w:eastAsia="仿宋_GB2312" w:cs="仿宋_GB2312"/>
          <w:color w:val="auto"/>
          <w:sz w:val="32"/>
          <w:szCs w:val="32"/>
          <w:highlight w:val="none"/>
          <w:lang w:val="en-US" w:eastAsia="zh-CN"/>
        </w:rPr>
        <w:t>德元娜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1.5项目建设性质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1.6项目类别</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基础设施建设</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 项目建设内容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上一棵树村内建设污水管线8000米，接入下一棵树村污水管线及附属设施，及路面恢复（以设计为准）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1.8项目补助标准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无</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1.9项目</w:t>
      </w:r>
      <w:r>
        <w:rPr>
          <w:rFonts w:hint="eastAsia" w:ascii="仿宋_GB2312" w:hAnsi="仿宋_GB2312" w:eastAsia="仿宋_GB2312" w:cs="仿宋_GB2312"/>
          <w:b/>
          <w:bCs/>
          <w:color w:val="auto"/>
          <w:sz w:val="32"/>
          <w:szCs w:val="32"/>
          <w:highlight w:val="none"/>
          <w:lang w:val="en-US" w:eastAsia="zh-CN"/>
        </w:rPr>
        <w:t>预计</w:t>
      </w:r>
      <w:r>
        <w:rPr>
          <w:rFonts w:hint="eastAsia" w:ascii="仿宋_GB2312" w:hAnsi="仿宋_GB2312" w:eastAsia="仿宋_GB2312" w:cs="仿宋_GB2312"/>
          <w:b/>
          <w:bCs/>
          <w:color w:val="auto"/>
          <w:sz w:val="32"/>
          <w:szCs w:val="32"/>
          <w:highlight w:val="none"/>
        </w:rPr>
        <w:t>建设期限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开工时间：</w:t>
      </w:r>
      <w:r>
        <w:rPr>
          <w:rFonts w:hint="eastAsia" w:ascii="仿宋_GB2312" w:hAnsi="仿宋_GB2312" w:eastAsia="仿宋_GB2312" w:cs="仿宋_GB2312"/>
          <w:color w:val="auto"/>
          <w:sz w:val="32"/>
          <w:szCs w:val="32"/>
          <w:highlight w:val="none"/>
          <w:lang w:val="en-US" w:eastAsia="zh-CN"/>
        </w:rPr>
        <w:t>2024年4月1日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完工时间：</w:t>
      </w:r>
      <w:r>
        <w:rPr>
          <w:rFonts w:hint="eastAsia" w:ascii="仿宋_GB2312" w:hAnsi="仿宋_GB2312" w:eastAsia="仿宋_GB2312" w:cs="仿宋_GB2312"/>
          <w:color w:val="auto"/>
          <w:sz w:val="32"/>
          <w:szCs w:val="32"/>
          <w:highlight w:val="none"/>
          <w:lang w:val="en-US" w:eastAsia="zh-CN"/>
        </w:rPr>
        <w:t>2024年10月1日</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1.10项目建设地点及基本情况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阿西尔乡一棵树村位于阿西尔乡驻地西南12公里，全村户籍人口302户840人，其中，常住人口152户346人，两栖户98户256人，由汉族、达斡尔族、哈萨克族、俄罗斯族、锡伯族、蒙古族、侗族等7个民族组成。村级活动阵地0.06公顷，其中村级文化室0.03公顷。全村党员63名，其中预备党员3名，五类党员9名。四老人员8名、低保户17户20人、残疾人21人。全村耕地1618.49公顷，其中机动地408.53公顷，林带面积171.4公顷，主要种植农作物以玉米、小麦为主。2022年村集体收入271.2万元，人均年收入26287元。所获荣誉：2015年自治区文明村队、2019年塔城市先进基层党组织、2022年塔城市民族团结先进单位，2019--2021年塔城地区五四红旗团支部。</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2.项目立项情况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2.1项目建设依据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 xml:space="preserve"> （1）《中华人民共和国村庄和集镇规模建设管理条例》；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2.2立项批复的建设内容及规模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上一棵树村内建设污水管线8000米，接入下一棵树村污水管线及附属设施，及路面恢复（以设计为准）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2.3项目建设的必要性和可行性</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本项目建成后将提高</w:t>
      </w:r>
      <w:r>
        <w:rPr>
          <w:rFonts w:hint="eastAsia" w:ascii="仿宋_GB2312" w:hAnsi="仿宋_GB2312" w:eastAsia="仿宋_GB2312" w:cs="仿宋_GB2312"/>
          <w:color w:val="auto"/>
          <w:sz w:val="32"/>
          <w:szCs w:val="32"/>
          <w:highlight w:val="none"/>
          <w:lang w:eastAsia="zh-CN"/>
        </w:rPr>
        <w:t>一棵树村</w:t>
      </w:r>
      <w:r>
        <w:rPr>
          <w:rFonts w:hint="eastAsia" w:ascii="仿宋_GB2312" w:hAnsi="仿宋_GB2312" w:eastAsia="仿宋_GB2312" w:cs="仿宋_GB2312"/>
          <w:color w:val="auto"/>
          <w:sz w:val="32"/>
          <w:szCs w:val="32"/>
          <w:highlight w:val="none"/>
        </w:rPr>
        <w:t>基础设施建设步伐，加快当地社会主义新农村建设步伐，为改善农牧民生活质量，促进村物质文明、精神文明、政治文明、生态文明和构建社会主义和谐社会，对社会主义新农村和全面建成小康社会奠定坚实的基础，推动经济发展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因此</w:t>
      </w:r>
      <w:r>
        <w:rPr>
          <w:rFonts w:hint="eastAsia" w:ascii="仿宋_GB2312" w:hAnsi="仿宋_GB2312" w:eastAsia="仿宋_GB2312" w:cs="仿宋_GB2312"/>
          <w:color w:val="auto"/>
          <w:sz w:val="32"/>
          <w:szCs w:val="32"/>
          <w:highlight w:val="none"/>
          <w:lang w:eastAsia="zh-CN"/>
        </w:rPr>
        <w:t>阿西尔乡一棵树村污水管网建设项目</w:t>
      </w:r>
      <w:r>
        <w:rPr>
          <w:rFonts w:hint="eastAsia" w:ascii="仿宋_GB2312" w:hAnsi="仿宋_GB2312" w:eastAsia="仿宋_GB2312" w:cs="仿宋_GB2312"/>
          <w:color w:val="auto"/>
          <w:sz w:val="32"/>
          <w:szCs w:val="32"/>
          <w:highlight w:val="none"/>
        </w:rPr>
        <w:t>是可行的也是必要的。</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2.4综合条件评价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建设场地周围无环境特别敏感目标，因此只要在设计中切实深化环境保护设计，建设中全面落实各项缓解污染影响的对策措施，加强施工监理，把好环境保护验收关，建成后对附近的环境敏感目标不会产生明显影响，因此本工程从环境保护角度来说是可行的。该项目的建设应根据环保部门的审批文件要求，严格执行“配套的环境保护设施与主体工程同时设计、同时施工、同时投入使用”的环境保护“三同时”制度。环保投资必须落实，并专款专用，切实做好配套建设污染治理工程，保证环保措施的实施，以利于项目的可持续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2.5施工设计（设计或技术方案）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制订方案首先必须从实际出发，切实可行，符合现场的实际情况，有实现的可能性。制订方案在资源、技术上提出的要求应该与当时已有的条件或在一定时间能争取到的条件相吻合，否则是不能实现的，因此只有在切实可行的范围内尽量求其先进和快速。</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2）满足合同要求的工期，就是按工期要求投入生产，交付使用，发挥技资效益，这对国民经济的发展具有重大的意义。所以在制订施工方案时，必须保证在竣工时间上符合合同的要求，并能争取提前完成。为此，在施工组织上要统筹安排，均衡施工，在技术上尽可能地采用先进的施工技术、施工工艺、新材料，在管理上采用现代化的管理方法进行动态管理和控制。</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3）确保工程质量和施工安全。工程建设是百年大计，要求质量第一，保证施工安全是社会的要求。因此，在制订方案时应充分考虑工程质量和施工安全，并提出保证工程质量和施工安全的技术组织措施，使方案完全符合技术规范、操作规范和安全规程的要求。</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4）在合同价控制下，尽量降低施工成本，使方案更加经济合理，增加施工生产的盈利。从施工成本的直接费（人工、材料、机具、设备、周转性材料等）和间接费中找出节约的途径，采取措施控制直接消耗，减少非生产人员。</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3.1项目设计（技术依据）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（9）《塔城市总体规划（2011-2030年）》；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（10）《塔城市乡村庄规划》</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3.2工程任务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上一棵树村内建设污水管线8000米，接入下一棵树村污水管线及附属设施，及路面恢复（以设计为准）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建设内容、规模、标准、投资设计等明细资料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上一棵树村内建设污水管线8000米，接入下一棵树村污水管线及附属设施，及路面恢复（以设计为准）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施工条件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自阿西尔乡村主干道可直达各乡村，交通方便，主要外购建材均可顺利运往现场。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施工用水可从附近渠道拉运，供电采用自备电源。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(1)外购材料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工程中水泥、木材及其它材料、机电设备、施工机具、配件器材等物资主要靠塔城市供应，平均运距25km；柴油、汽油由距离项目区最近加油站供给。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(2)天然建筑材料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项目区周围无天然建筑材料分布，从塔城市周边砂石料场购买。所需要的填筑土料沿渠线就地取土，填筑土料属于四类土。</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施工总布置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工程通过踏勘现场及对施工环境、施工条件的调查了解，在保证工期、质量、安全的前提下，在临时工程总体布置中遵循以下原则：临时工程以不影响当地居民的正常生活为前提，尽可能为当地居民提供方便，整个施工总体布置应满足环保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（2）施工场地布置，应遵循因地制宜，尽量不破坏生态环境的原则。根据本项目渠线长，面积广的特点，为方便施工具体布置施工场地1个，场地已经形成不需要平整。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 xml:space="preserve"> 施工方法与要求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①管沟开挖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管沟开挖前应将管道主要控制桩平移至管沟旁较安全(不易扰动)的地方，管沟采用挖掘机开挖，并配少量人工整平管沟，一般情况下一次开挖成形。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②土方回填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原土回填，采用机械为主，人工为辅。</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4.投资概算和资金筹措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4.1项目总投资：</w:t>
      </w:r>
      <w:r>
        <w:rPr>
          <w:rFonts w:hint="eastAsia" w:ascii="仿宋_GB2312" w:hAnsi="仿宋_GB2312" w:eastAsia="仿宋_GB2312" w:cs="仿宋_GB2312"/>
          <w:b/>
          <w:bCs/>
          <w:color w:val="auto"/>
          <w:sz w:val="32"/>
          <w:szCs w:val="32"/>
          <w:highlight w:val="none"/>
          <w:lang w:val="en-US" w:eastAsia="zh-CN"/>
        </w:rPr>
        <w:t>380万元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投资是由哪些具体内容构成的。列表测算或按建设内容逐项 测算，要分标准、分项目明确价格、人工、材料等费用。投资概算要清晰、准确，列出工程量清单、单价及明细表，以可进行预算评审为标准。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4.2资金筹措</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项目投资：</w:t>
      </w:r>
      <w:r>
        <w:rPr>
          <w:rFonts w:hint="eastAsia" w:ascii="仿宋_GB2312" w:hAnsi="仿宋_GB2312" w:eastAsia="仿宋_GB2312" w:cs="仿宋_GB2312"/>
          <w:color w:val="auto"/>
          <w:sz w:val="32"/>
          <w:szCs w:val="32"/>
          <w:highlight w:val="none"/>
          <w:lang w:val="en-US" w:eastAsia="zh-CN"/>
        </w:rPr>
        <w:t>380万元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中央衔接资金</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4.3资金使用和管理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资金使用和管理应按照《关于</w:t>
      </w:r>
      <w:r>
        <w:rPr>
          <w:rFonts w:hint="eastAsia" w:ascii="仿宋_GB2312" w:hAnsi="仿宋_GB2312" w:eastAsia="仿宋_GB2312" w:cs="仿宋_GB2312"/>
          <w:color w:val="auto"/>
          <w:sz w:val="32"/>
          <w:szCs w:val="32"/>
          <w:highlight w:val="none"/>
          <w:lang w:val="en-US" w:eastAsia="zh-CN"/>
        </w:rPr>
        <w:t>印发《新疆维吾尔自治区财政衔接推进乡村振兴补助资金（巩固拓展脱贫攻坚成果和乡村振兴任务）项目管理办法（暂行）》的通知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新乡振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号等相关文件要求。项目实施单位依据项目计划和实施进度,提出支付申请并提供相关真实、合规的证明材料，制定资金使用计划，经审核后按照国库集中支付管理制度的规定和程序及时支付资金。从国库直接支付到</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项目承担的企业、商户或个人。严格执行专款专用，杜绝挤占、挪用项目资金，严禁虚列支出、以拨代支虚增项目进度。项目资金支付后,在审计或检查中发现资金使用存在违法违规问题的，应及时追回、收回。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对资金使用严格监管，防止资金使用不精准、虚报冒领。为加快资金支出进度，</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项目可实行预付款制，预付资金总额合计原则上不超过应付该项目资金总额的50%，其中：基础建设类项目预付资金原则上不超过合同金额的30%。</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5.项目实施保障措施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5.1组织领导机构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项目主管单位为塔城市</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开发领导小组办公室；</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项目实施单位为塔城市阿西尔乡人民政府，为确保项目顺利实施，成立了</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项目实施领导小组：</w:t>
      </w:r>
    </w:p>
    <w:p>
      <w:pPr>
        <w:pStyle w:val="4"/>
        <w:pageBreakBefore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组  长：袁  浩     党委书记</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德元娜     党委副书记、政府乡长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副组长：白  剑     党委委员、人大主席</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毕兆龙     党委副书记、政法委员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范晓军     党委副书记、宣传委员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张文燕     党委委员、纪委书记</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周  琪     党委委员、组织委员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于德任     党委委员、统战委员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高  伟     党委委员、武装部长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乌尔肯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  田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朱思帆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黄新建     主任科员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组  员：有乡村振兴任务村队党支部书记、村主任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领导小组下设办公室，办公室设在乡项目办公室，办公室主任由于德任同志兼任。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5.2技术保障措施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5.2.1进度的组织措施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劳动力的投入是保证工期关键，因此当本工程的工作面一旦形成，立即按序调集劳动力，并按据工程进度安排，全体施工人员与管理人员取消节假日、休息日。各类机械设备必须专人操作、保管、维修，确保正常使用，以满足施工进度的实际需要，这是保证工期的必备条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5.2.2管理措施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工程实施中，以合同为依据，自始至终贯彻执行到施工管理全过程，确保工程优质如期完成。以合同规定的承包施工范围的工程质量、工期、安全、文明施工等要求为原则，项目部编制详细、完善的施工组织设计，经监理单位审核后，进行实施。以合同规定的总工期要求，项目部根据现场实际情况编制本工程施工总进度网络计划，以此有效地对工程进度进行总控制。以总工期为依据，项目部根据现场实际情况编制分阶段实施计划（施工准备计划；人员进场计划；施工材料、设备、机具进场计划、分项分部施工进度计划等）。将合同的条款要求，分解纳入相对的分包合同中，对质量、工期、安全、文明施工等安全处于承包控制范围之中，确保工程如期完成。施工过程中各类工作联系，除必要口头通知外，项目部一律以书面指示，及时发给各工作组执行。</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5.2.3材料供应措施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计划及时准确，关系到工程进度的顺利进行；也能充分发挥资金效益。因此，高度重视此项工作，在资料的打印、传递方面严肃认真。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在时间及数量上慎之又慎，决不因为我方工作而造成供料混乱。此项工作的落实，对各级管理人员制定岗位责任制，选派具有业务素质高、责任心强的专业材料员来担任此项工作。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设置专人对已装和未装的设备保管，建立专职保管员及完整的领用手续，保证供应的设备及材料不丢失，不浪费。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材料的组织供应是项目部物资管理的中心任务，供应质量的优劣与供应速度的及时准确与否是关系到项目部各项工作能否顺利进行的决定因素，所以在做好日常工作管理方面重点抓好如下几点：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加强材料计划的及时性、准确性、严肃性：项目部将执行规范化的计划编制、审核、采购制度，做到供应工作的不同阶段不同的人负责，坚决杜绝计划盲目性，铺张浪费的不严肃工作作风。</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采购成本的控制：在保证质量、数量供货及时的基础上，降低采购成本是提高项目施工效益的重点环节。任何用于工程的材料采购必须要有经项目经理审批后的采购通知单及严格的验收入库制度，采购员不得接受任何人随意的采购指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审批的环节：项目部在做好自身计划的审批工作的基础上，同时也做好对甲方的报批工作，对实行调整的大宗材料应事先报送甲方进行价格厂家的审批，在审批的基础上进行采购。未经审批的材料决不自行采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保管、及时回收：材料的保管、领用工作是保证材料供应不乱的基础，项目部坚决执行限额领料制度，凭计划发料，在保管工作上配备专业的保管工人，保证施工材料不受损。同时做好材料的回收利用，做到能使用的决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5.2.4资金保证措施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项目财力的合理使用是工程按进度计划顺利施工的保障，做好项目成本的控制和使用是项目降低成本、提高综合效益的基础。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合理收取工程款：严格遵照合同条款中有关付款的条文，根据要求提供必要的付款依据，请甲方审核。</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合理使用工程款：保证项目的资金使用是保证工程顺利进行的先决条件。为此公司在资金使用上坚决做到专款专用，不属于本工程使用的资金决不占用。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合理调度工程款：若甲方按合同规定资金一时不能到位，则不能因此而拖延工期或影响工程质量，我方将千方百计调度项目外资金确保工程顺利进行，同时这也是我公司为业务服务的一种真诚体现。</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5.2.5工程检查措施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检查工作制：专业施工员是施工技术、进度、质量的主要负责人，建立以专业施工点为主的计划执行系与施工员为主的计划检查系这一对立统一的工作关系，是保证项目进度计划的重要方法。施工员每日进行现场检查，并将检查的结果每日以书面的形式汇报项目经理，以便及时了解施工动态，监督和督促各施工班组按计划完成工作，及时进行必要的调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日志：施工日志是项目施工中每一天所发生有关事宜的真实记录，也是项目日常管理的工作要点。由专业施工员对每日发生的事宜及有关工程的情况按施工日志的要求真实填写汇总，书面报送项目经理及资料存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5.2.6施工进度保证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及时调配生产机具，以及设备、材料供应，若项目无法调配将及时汇报公司设备供应部门，及时调整和补充施工机械或业务人员。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及时改进施工技术，决不因技术措施不适用或不合理造成施工的浪费和返工。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调整进度计划：由于外部因素影响造成进度无法实施或是计划与现场状况不符，就应及时调整进度计划，同时也要及时积极的进行施工协调。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质量跟踪检查：项目部质量检查员每日对施工班组所施工的内容进行检查，发现质量问题及时签发整改单，并每日将检查结果汇报项目技术负责人，把质量问题消除在过程中，决不因质量问题造成返工，从而影响工程进度计划。</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利用现代科学手段，采用计算机项目管理系统对工程进行动态管理。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5.</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验收管理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根据相关文件要求，坚持项目竣工验收制度，遵照属地管理、“谁审批、谁验收”的原则。按照村、乡、县三个级别逐级开展验收工作。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运营模式和运营管理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根据项目竣工后</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按照“谁使用、谁管理、谁负责”的原则，做好产权移交工作。项目竣工验收后，及时移交使用村，由村进行项目后期管护，并与村签订资产移交及后期管护责任书，成立以村主任牵头的管护小组，管护小组成员必须坚守岗位，尽职尽责，保证项目完好。对发现损坏项目者，进行严格的思想教育，视情节轻重，给予批评教育或经济制裁，直至追究法律责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带贫减贫益贫机制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通过项目的实施对村内农牧民生产生活提供便利，有助于增加收入，防止返贫。为村队发展带来一系列经济、社会效益。</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6.项目实施进度</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6.1项目实施进度计划</w:t>
      </w:r>
    </w:p>
    <w:tbl>
      <w:tblPr>
        <w:tblStyle w:val="7"/>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078"/>
        <w:gridCol w:w="1464"/>
        <w:gridCol w:w="143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27" w:type="dxa"/>
            <w:vMerge w:val="restart"/>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3078" w:type="dxa"/>
            <w:vMerge w:val="restart"/>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项目阶段</w:t>
            </w:r>
          </w:p>
        </w:tc>
        <w:tc>
          <w:tcPr>
            <w:tcW w:w="4224" w:type="dxa"/>
            <w:gridSpan w:val="3"/>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27"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3078"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64"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20"/>
                <w:sz w:val="32"/>
                <w:szCs w:val="32"/>
                <w:highlight w:val="none"/>
                <w:lang w:eastAsia="zh-CN"/>
              </w:rPr>
            </w:pPr>
            <w:r>
              <w:rPr>
                <w:rFonts w:hint="eastAsia" w:ascii="仿宋_GB2312" w:hAnsi="仿宋_GB2312" w:eastAsia="仿宋_GB2312" w:cs="仿宋_GB2312"/>
                <w:color w:val="auto"/>
                <w:spacing w:val="-20"/>
                <w:sz w:val="32"/>
                <w:szCs w:val="32"/>
                <w:highlight w:val="none"/>
                <w:lang w:val="en-US" w:eastAsia="zh-CN"/>
              </w:rPr>
              <w:t>4</w:t>
            </w:r>
          </w:p>
        </w:tc>
        <w:tc>
          <w:tcPr>
            <w:tcW w:w="143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5-9</w:t>
            </w:r>
          </w:p>
        </w:tc>
        <w:tc>
          <w:tcPr>
            <w:tcW w:w="13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前期阶段</w:t>
            </w:r>
          </w:p>
        </w:tc>
        <w:tc>
          <w:tcPr>
            <w:tcW w:w="1464" w:type="dxa"/>
            <w:vMerge w:val="restart"/>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213360</wp:posOffset>
                      </wp:positionV>
                      <wp:extent cx="647700" cy="8890"/>
                      <wp:effectExtent l="0" t="13970" r="7620" b="22860"/>
                      <wp:wrapNone/>
                      <wp:docPr id="310" name="Line 10"/>
                      <wp:cNvGraphicFramePr/>
                      <a:graphic xmlns:a="http://schemas.openxmlformats.org/drawingml/2006/main">
                        <a:graphicData uri="http://schemas.microsoft.com/office/word/2010/wordprocessingShape">
                          <wps:wsp>
                            <wps:cNvCnPr>
                              <a:cxnSpLocks noChangeShapeType="1"/>
                            </wps:cNvCnPr>
                            <wps:spPr bwMode="auto">
                              <a:xfrm>
                                <a:off x="0" y="0"/>
                                <a:ext cx="647700" cy="8890"/>
                              </a:xfrm>
                              <a:prstGeom prst="line">
                                <a:avLst/>
                              </a:prstGeom>
                              <a:noFill/>
                              <a:ln w="28575">
                                <a:solidFill>
                                  <a:srgbClr val="000000"/>
                                </a:solidFill>
                                <a:round/>
                              </a:ln>
                            </wps:spPr>
                            <wps:bodyPr/>
                          </wps:wsp>
                        </a:graphicData>
                      </a:graphic>
                    </wp:anchor>
                  </w:drawing>
                </mc:Choice>
                <mc:Fallback>
                  <w:pict>
                    <v:line id="Line 10" o:spid="_x0000_s1026" o:spt="20" style="position:absolute;left:0pt;margin-left:-3.2pt;margin-top:16.8pt;height:0.7pt;width:51pt;z-index:251659264;mso-width-relative:page;mso-height-relative:page;" filled="f" stroked="t" coordsize="21600,21600" o:gfxdata="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HFiNYAAAAHAQAADwAAAAAAAAABACAAAAAiAAAAZHJzL2Rvd25yZXYueG1sUEsBAhQAFAAAAAgA&#10;h07iQNQ3RSW1AQAAVwMAAA4AAAAAAAAAAQAgAAAAJQEAAGRycy9lMm9Eb2MueG1sUEsFBgAAAAAG&#10;AAYAWQEAAEw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勘察设计</w:t>
            </w:r>
          </w:p>
        </w:tc>
        <w:tc>
          <w:tcPr>
            <w:tcW w:w="1464"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3078" w:type="dxa"/>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招投标及施工准备阶段</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92075</wp:posOffset>
                      </wp:positionV>
                      <wp:extent cx="340360" cy="10160"/>
                      <wp:effectExtent l="635" t="1270" r="9525" b="19050"/>
                      <wp:wrapNone/>
                      <wp:docPr id="311" name="Line 11"/>
                      <wp:cNvGraphicFramePr/>
                      <a:graphic xmlns:a="http://schemas.openxmlformats.org/drawingml/2006/main">
                        <a:graphicData uri="http://schemas.microsoft.com/office/word/2010/wordprocessingShape">
                          <wps:wsp>
                            <wps:cNvCnPr>
                              <a:cxnSpLocks noChangeShapeType="1"/>
                            </wps:cNvCnPr>
                            <wps:spPr bwMode="auto">
                              <a:xfrm flipV="1">
                                <a:off x="0" y="0"/>
                                <a:ext cx="340360" cy="10160"/>
                              </a:xfrm>
                              <a:prstGeom prst="line">
                                <a:avLst/>
                              </a:prstGeom>
                              <a:noFill/>
                              <a:ln w="28575">
                                <a:solidFill>
                                  <a:srgbClr val="000000"/>
                                </a:solidFill>
                                <a:round/>
                              </a:ln>
                            </wps:spPr>
                            <wps:bodyPr/>
                          </wps:wsp>
                        </a:graphicData>
                      </a:graphic>
                    </wp:anchor>
                  </w:drawing>
                </mc:Choice>
                <mc:Fallback>
                  <w:pict>
                    <v:line id="Line 11" o:spid="_x0000_s1026" o:spt="20" style="position:absolute;left:0pt;flip:y;margin-left:44.85pt;margin-top:7.25pt;height:0.8pt;width:26.8pt;z-index:251660288;mso-width-relative:page;mso-height-relative:page;" filled="f" stroked="t" coordsize="21600,21600" o:gfxdata="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FWHD9cAAAAIAQAADwAAAAAAAAABACAAAAAiAAAAZHJzL2Rvd25yZXYueG1sUEsBAhQA&#10;FAAAAAgAh07iQDllmgq6AQAAYgMAAA4AAAAAAAAAAQAgAAAAJgEAAGRycy9lMm9Eb2MueG1sUEsF&#10;BgAAAAAGAAYAWQEAAFI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项目施工</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113030</wp:posOffset>
                      </wp:positionV>
                      <wp:extent cx="1266190" cy="19685"/>
                      <wp:effectExtent l="0" t="13970" r="13970" b="27305"/>
                      <wp:wrapNone/>
                      <wp:docPr id="312" name="Line 12"/>
                      <wp:cNvGraphicFramePr/>
                      <a:graphic xmlns:a="http://schemas.openxmlformats.org/drawingml/2006/main">
                        <a:graphicData uri="http://schemas.microsoft.com/office/word/2010/wordprocessingShape">
                          <wps:wsp>
                            <wps:cNvCnPr>
                              <a:cxnSpLocks noChangeShapeType="1"/>
                            </wps:cNvCnPr>
                            <wps:spPr bwMode="auto">
                              <a:xfrm flipV="1">
                                <a:off x="0" y="0"/>
                                <a:ext cx="1266190" cy="19685"/>
                              </a:xfrm>
                              <a:prstGeom prst="line">
                                <a:avLst/>
                              </a:prstGeom>
                              <a:noFill/>
                              <a:ln w="28575">
                                <a:solidFill>
                                  <a:srgbClr val="000000"/>
                                </a:solidFill>
                                <a:round/>
                              </a:ln>
                            </wps:spPr>
                            <wps:bodyPr/>
                          </wps:wsp>
                        </a:graphicData>
                      </a:graphic>
                    </wp:anchor>
                  </w:drawing>
                </mc:Choice>
                <mc:Fallback>
                  <w:pict>
                    <v:line id="Line 12" o:spid="_x0000_s1026" o:spt="20" style="position:absolute;left:0pt;flip:y;margin-left:-1.15pt;margin-top:8.9pt;height:1.55pt;width:99.7pt;z-index:251661312;mso-width-relative:page;mso-height-relative:page;" filled="f" stroked="t" coordsize="21600,21600" o:gfxdata="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0zn7XAAAACAEAAA8AAAAAAAAAAQAgAAAAIgAAAGRycy9kb3ducmV2LnhtbFBLAQIU&#10;ABQAAAAIAIdO4kDwgt7puwEAAGMDAAAOAAAAAAAAAAEAIAAAACYBAABkcnMvZTJvRG9jLnhtbFBL&#10;BQYAAAAABgAGAFkBAABTBQAAAAA=&#10;">
                      <v:fill on="f" focussize="0,0"/>
                      <v:stroke weight="2.25pt" color="#000000" joinstyle="round"/>
                      <v:imagedata o:title=""/>
                      <o:lock v:ext="edit" aspectratio="f"/>
                    </v:line>
                  </w:pict>
                </mc:Fallback>
              </mc:AlternateContent>
            </w: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竣工验收</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111760</wp:posOffset>
                      </wp:positionV>
                      <wp:extent cx="410210" cy="9525"/>
                      <wp:effectExtent l="0" t="0" r="0" b="0"/>
                      <wp:wrapNone/>
                      <wp:docPr id="313" name="Line 13"/>
                      <wp:cNvGraphicFramePr/>
                      <a:graphic xmlns:a="http://schemas.openxmlformats.org/drawingml/2006/main">
                        <a:graphicData uri="http://schemas.microsoft.com/office/word/2010/wordprocessingShape">
                          <wps:wsp>
                            <wps:cNvCnPr>
                              <a:cxnSpLocks noChangeShapeType="1"/>
                            </wps:cNvCnPr>
                            <wps:spPr bwMode="auto">
                              <a:xfrm flipV="1">
                                <a:off x="0" y="0"/>
                                <a:ext cx="410210" cy="9525"/>
                              </a:xfrm>
                              <a:prstGeom prst="line">
                                <a:avLst/>
                              </a:prstGeom>
                              <a:noFill/>
                              <a:ln w="28575">
                                <a:solidFill>
                                  <a:srgbClr val="000000"/>
                                </a:solidFill>
                                <a:round/>
                              </a:ln>
                            </wps:spPr>
                            <wps:bodyPr/>
                          </wps:wsp>
                        </a:graphicData>
                      </a:graphic>
                    </wp:anchor>
                  </w:drawing>
                </mc:Choice>
                <mc:Fallback>
                  <w:pict>
                    <v:line id="Line 13" o:spid="_x0000_s1026" o:spt="20" style="position:absolute;left:0pt;flip:y;margin-left:30.15pt;margin-top:8.8pt;height:0.75pt;width:32.3pt;z-index:251662336;mso-width-relative:page;mso-height-relative:page;" filled="f" stroked="t" coordsize="21600,21600" o:gfxdata="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3tdFD1wAAAAgBAAAPAAAAAAAAAAEAIAAAACIAAABkcnMvZG93bnJldi54bWxQSwECFAAU&#10;AAAACACHTuJATcT1krkBAABhAwAADgAAAAAAAAABACAAAAAmAQAAZHJzL2Uyb0RvYy54bWxQSwUG&#10;AAAAAAYABgBZAQAAUQUAAAAA&#10;">
                      <v:fill on="f" focussize="0,0"/>
                      <v:stroke weight="2.25pt" color="#000000" joinstyle="round"/>
                      <v:imagedata o:title=""/>
                      <o:lock v:ext="edit" aspectratio="f"/>
                    </v:line>
                  </w:pict>
                </mc:Fallback>
              </mc:AlternateContent>
            </w:r>
          </w:p>
        </w:tc>
      </w:tr>
    </w:tbl>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本项目施工可分为准备期、施工期、扫尾期三个阶段：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准备期：由建设单位完成项目评审、对外交通、施工征地、民房拆迁以及招标、评标、施工合同签约等筹建工作，完成施工单位进场前的施工准备工作，三通一平。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施工期：</w:t>
      </w:r>
      <w:r>
        <w:rPr>
          <w:rFonts w:hint="eastAsia" w:ascii="仿宋_GB2312" w:hAnsi="仿宋_GB2312" w:eastAsia="仿宋_GB2312" w:cs="仿宋_GB2312"/>
          <w:color w:val="auto"/>
          <w:sz w:val="32"/>
          <w:szCs w:val="32"/>
          <w:highlight w:val="none"/>
          <w:lang w:val="en-US" w:eastAsia="zh-CN"/>
        </w:rPr>
        <w:t>工程施工阶段</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扫尾期：施工现场建筑垃圾清除、拆除临时建筑物、平整渠侧取土坑及料场复平，竣工验收。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6.2招标方案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项目招标采取项目法人委托具有相应资质的招标代理机构代理招标的形式，由招标代理机构会同项目法人共同组织招标。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代理单位负责编写招标文件，投标邀请书，委托资质单位编制标底，组织开标、评标和定标工作。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建设项目的开标由项目法人和招标代理机构主持，邀请招标投标单位、政府主管部门和其他有关单位（监督、公正等部门）代表参加。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评标委员会负责评标。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项目法人和招标代理机构按照招投标法的有关规定，负责组建评标委员会。组织由项目法人、投标方以及受聘的技术、经济、法律等方面专家的评标委员会。与投标单位有利害关系的人员不得进入评标委员会。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评标委员会依据招标文件要求对投标文件进行综合评审和比较，并按顺序向项目法人推荐二至三个中标候选单位。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项目法人从评标委员会推荐的中标候选单位中择优确定中标单位。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中标确定后，项目法人正式发出经主管部门审核备案的《中标通知书》，并将全部评标结果，按项目隶属关系，报当地财政、发改委、卫生、建设部门备案。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6.3项目公告公示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项目实施需按</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文件，按事前、事中、事后增加公示公告章节内容，并明确公示公告的方式。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土建工程、设备工程、安装工程、需根据各工程的费用按照法律法规分项、分内容进行招标。</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7.项目绩效目标及效益分析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7.1年度目标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7.1.1项目覆盖情况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项目覆盖阿西尔乡</w:t>
      </w:r>
      <w:r>
        <w:rPr>
          <w:rFonts w:hint="eastAsia" w:ascii="仿宋_GB2312" w:hAnsi="仿宋_GB2312" w:eastAsia="仿宋_GB2312" w:cs="仿宋_GB2312"/>
          <w:color w:val="auto"/>
          <w:sz w:val="32"/>
          <w:szCs w:val="32"/>
          <w:highlight w:val="none"/>
          <w:lang w:eastAsia="zh-CN"/>
        </w:rPr>
        <w:t>一棵树村</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7.2经济效益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7.2.1直接效益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项目的建设符合规划，能增加农业收入，改善农村环境，创造良好的交通环境，对当地的经济发展有很大的促进作用，使周边资源得以更加充分的利用和开发，带来一系列经济、社会效益。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7.2.2间接效益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务工收益及当地通过项目建设取得的相关费用效益。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7.3社会效益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（1）改善村民生活条件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实施后，能有效地改善当地村民生活的物质条件，还有利于改善当地村民生活条件，提高村民文化素质。项目的实施使得生活环境得以改善，生存质量得以提高，为促进安居乐业和向现代生活迈进打下了坚实的基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通过项目的实施，促进村民生活质量的提高。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（2）有利于社会稳定，民族团结</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后，当地村民可享受较为便利的出行生活服务，能及时收听收看到党的方针政策，对于促进村民转变观念，开阔眼界，对于提高村民的素质、加速科技成果推广应用、缩小农牧区差距、建设全面小康社会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本项目的实施将逐步改善当地居民的居住条件，进一步满足人民群众日益增长的生活需求，提高全民生活质量，有利于社会稳定，促进社会经济协调发展。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实施，让全区各族人民更加体会到党和政府的温暖，充分享受改革开放为百姓带来的成果；有利于宣传党的政策；有利于维护边疆稳定大局和民族大团结；有利于社会主义新农村的建设和社会主义和谐社会的构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综上所述，项目建设可以维护社会稳定、提高城市承载能力，改善投资环境，促进经济发展和繁荣。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7.4生态效益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通过项目的实施会减少资源消耗、改善生态环境状况、遏制水土流失、提高森林覆盖率、水源涵养能力和水土保持能力、减少和降低人居活动对生态环境的破坏、降低事故发生频率。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7.5可持续性影响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项目用工将吸纳本地剩余劳动力，缓解就业压力，利于社会长治久安。有利于城市的环境改善和保护，对农村的可持续发展有重大意义。</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8.风险分析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８.1主要风险因素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为政府投资的公共服务类项目，无土地征迁，不会引发集中社会风险。项目实施中可能面临的工程风险主要来自工程设计水平和质量；建筑施工水平和质量，即项目设计单位的水平和责任心，项目施工单位的人员素质、装备能力、施工期间的成本控制及质量管理等。</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８.2防范化解措施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(1)做好项目的工程设计，总结已建工程的设计经验，确保临建设项目的安全、实用，功能布局合理、流程适用，满足各项功能要求。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(2)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zh-CN"/>
        </w:rPr>
        <w:t>)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3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FDxvhrfAQAAswMAAA4AAAAA&#10;AAAAAQAgAAAAHw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gwNDAyOGQ2MDJlMjFjYThjYzJkMTI3NTVjZTcifQ=="/>
  </w:docVars>
  <w:rsids>
    <w:rsidRoot w:val="00000000"/>
    <w:rsid w:val="07F324E6"/>
    <w:rsid w:val="085B5FD0"/>
    <w:rsid w:val="0DC057AD"/>
    <w:rsid w:val="150567C6"/>
    <w:rsid w:val="1E5A6459"/>
    <w:rsid w:val="211D522C"/>
    <w:rsid w:val="21B13C35"/>
    <w:rsid w:val="277A1C23"/>
    <w:rsid w:val="2EC21722"/>
    <w:rsid w:val="300433F7"/>
    <w:rsid w:val="348C0444"/>
    <w:rsid w:val="35E56119"/>
    <w:rsid w:val="39FF5F08"/>
    <w:rsid w:val="3E930B7A"/>
    <w:rsid w:val="3F9F0824"/>
    <w:rsid w:val="40457E86"/>
    <w:rsid w:val="45193E8D"/>
    <w:rsid w:val="51260213"/>
    <w:rsid w:val="602B45E8"/>
    <w:rsid w:val="62A01980"/>
    <w:rsid w:val="67C403D4"/>
    <w:rsid w:val="6CF81D9C"/>
    <w:rsid w:val="73C813B9"/>
    <w:rsid w:val="7506716D"/>
    <w:rsid w:val="7542055F"/>
    <w:rsid w:val="76595A40"/>
    <w:rsid w:val="79077528"/>
    <w:rsid w:val="799E6CA6"/>
    <w:rsid w:val="7AB72CCE"/>
    <w:rsid w:val="7C29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99"/>
    <w:pPr>
      <w:tabs>
        <w:tab w:val="center" w:pos="4153"/>
        <w:tab w:val="right" w:pos="8306"/>
      </w:tabs>
      <w:snapToGrid w:val="0"/>
      <w:jc w:val="left"/>
    </w:pPr>
    <w:rPr>
      <w:sz w:val="18"/>
      <w:szCs w:val="18"/>
    </w:rPr>
  </w:style>
  <w:style w:type="paragraph" w:customStyle="1" w:styleId="8">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2022-01-12T09:32:00Z</dcterms:created>
  <dc:creator>Administrator</dc:creator>
  <cp:lastModifiedBy>Administrator</cp:lastModifiedBy>
  <cp:lastPrinted>2022-09-13T03:31:00Z</cp:lastPrinted>
  <dcterms:modified xsi:type="dcterms:W3CDTF">2024-01-10T13:32:01Z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B753728D04E44CF5BC6A242CF164FF2D_12</vt:lpwstr>
  </property>
</Properties>
</file>