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tabs>
          <w:tab w:val="left" w:pos="540"/>
        </w:tabs>
        <w:ind w:left="0" w:leftChars="0" w:firstLine="0" w:firstLineChars="0"/>
        <w:rPr>
          <w:rFonts w:hint="eastAsia" w:ascii="方正粗黑宋简体" w:hAnsi="方正粗黑宋简体" w:eastAsia="方正粗黑宋简体" w:cs="方正粗黑宋简体"/>
          <w:color w:val="000000" w:themeColor="text1"/>
          <w:spacing w:val="0"/>
          <w:sz w:val="72"/>
          <w:szCs w:val="72"/>
          <w14:textFill>
            <w14:solidFill>
              <w14:schemeClr w14:val="tx1"/>
            </w14:solidFill>
          </w14:textFill>
        </w:rPr>
      </w:pPr>
      <w:r>
        <w:rPr>
          <w:rFonts w:hint="eastAsia" w:ascii="微软雅黑" w:hAnsi="微软雅黑" w:eastAsia="微软雅黑" w:cs="微软雅黑"/>
          <w:b/>
          <w:bCs/>
          <w:color w:val="000000" w:themeColor="text1"/>
          <w:spacing w:val="0"/>
          <w:sz w:val="44"/>
          <w:szCs w:val="44"/>
          <w:lang w:val="en-US" w:eastAsia="zh-CN"/>
          <w14:textFill>
            <w14:solidFill>
              <w14:schemeClr w14:val="tx1"/>
            </w14:solidFill>
          </w14:textFill>
        </w:rPr>
        <w:t>塔城市阿不都拉乡水磨村粪污一体化项目</w:t>
      </w:r>
    </w:p>
    <w:p>
      <w:pPr>
        <w:pStyle w:val="8"/>
        <w:rPr>
          <w:rFonts w:hint="eastAsia" w:ascii="方正粗黑宋简体" w:hAnsi="方正粗黑宋简体" w:eastAsia="方正粗黑宋简体" w:cs="方正粗黑宋简体"/>
          <w:color w:val="000000" w:themeColor="text1"/>
          <w:spacing w:val="0"/>
          <w:sz w:val="72"/>
          <w:szCs w:val="72"/>
          <w14:textFill>
            <w14:solidFill>
              <w14:schemeClr w14:val="tx1"/>
            </w14:solidFill>
          </w14:textFill>
        </w:rPr>
      </w:pPr>
    </w:p>
    <w:p>
      <w:pPr>
        <w:pStyle w:val="2"/>
        <w:rPr>
          <w:rFonts w:hint="eastAsia"/>
        </w:rPr>
      </w:pPr>
    </w:p>
    <w:p>
      <w:pPr>
        <w:pStyle w:val="7"/>
        <w:tabs>
          <w:tab w:val="left" w:pos="540"/>
        </w:tabs>
        <w:ind w:left="0" w:leftChars="0" w:firstLine="0" w:firstLineChars="0"/>
        <w:jc w:val="center"/>
        <w:rPr>
          <w:rFonts w:hint="eastAsia" w:ascii="微软雅黑" w:hAnsi="微软雅黑" w:eastAsia="微软雅黑" w:cs="微软雅黑"/>
          <w:b w:val="0"/>
          <w:bCs w:val="0"/>
          <w:color w:val="000000" w:themeColor="text1"/>
          <w:spacing w:val="0"/>
          <w:sz w:val="52"/>
          <w:szCs w:val="52"/>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0"/>
          <w:sz w:val="52"/>
          <w:szCs w:val="52"/>
          <w:lang w:val="en-US" w:eastAsia="zh-CN"/>
          <w14:textFill>
            <w14:solidFill>
              <w14:schemeClr w14:val="tx1"/>
            </w14:solidFill>
          </w14:textFill>
        </w:rPr>
        <w:t>实</w:t>
      </w:r>
    </w:p>
    <w:p>
      <w:pPr>
        <w:pStyle w:val="7"/>
        <w:tabs>
          <w:tab w:val="left" w:pos="540"/>
        </w:tabs>
        <w:ind w:left="0" w:leftChars="0" w:firstLine="0" w:firstLineChars="0"/>
        <w:jc w:val="center"/>
        <w:rPr>
          <w:rFonts w:hint="eastAsia" w:ascii="微软雅黑" w:hAnsi="微软雅黑" w:eastAsia="微软雅黑" w:cs="微软雅黑"/>
          <w:b w:val="0"/>
          <w:bCs w:val="0"/>
          <w:color w:val="000000" w:themeColor="text1"/>
          <w:spacing w:val="0"/>
          <w:sz w:val="52"/>
          <w:szCs w:val="52"/>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0"/>
          <w:sz w:val="52"/>
          <w:szCs w:val="52"/>
          <w:lang w:val="en-US" w:eastAsia="zh-CN"/>
          <w14:textFill>
            <w14:solidFill>
              <w14:schemeClr w14:val="tx1"/>
            </w14:solidFill>
          </w14:textFill>
        </w:rPr>
        <w:t>施</w:t>
      </w:r>
    </w:p>
    <w:p>
      <w:pPr>
        <w:pStyle w:val="7"/>
        <w:tabs>
          <w:tab w:val="left" w:pos="540"/>
        </w:tabs>
        <w:ind w:left="0" w:leftChars="0" w:firstLine="0" w:firstLineChars="0"/>
        <w:jc w:val="center"/>
        <w:rPr>
          <w:rFonts w:hint="eastAsia" w:ascii="微软雅黑" w:hAnsi="微软雅黑" w:eastAsia="微软雅黑" w:cs="微软雅黑"/>
          <w:b w:val="0"/>
          <w:bCs w:val="0"/>
          <w:color w:val="000000" w:themeColor="text1"/>
          <w:spacing w:val="0"/>
          <w:sz w:val="52"/>
          <w:szCs w:val="52"/>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0"/>
          <w:sz w:val="52"/>
          <w:szCs w:val="52"/>
          <w:lang w:val="en-US" w:eastAsia="zh-CN"/>
          <w14:textFill>
            <w14:solidFill>
              <w14:schemeClr w14:val="tx1"/>
            </w14:solidFill>
          </w14:textFill>
        </w:rPr>
        <w:t>方</w:t>
      </w:r>
    </w:p>
    <w:p>
      <w:pPr>
        <w:pStyle w:val="7"/>
        <w:tabs>
          <w:tab w:val="left" w:pos="540"/>
        </w:tabs>
        <w:ind w:left="0" w:leftChars="0" w:firstLine="0" w:firstLineChars="0"/>
        <w:jc w:val="center"/>
        <w:rPr>
          <w:rFonts w:hint="default" w:ascii="微软雅黑" w:hAnsi="微软雅黑" w:eastAsia="微软雅黑" w:cs="微软雅黑"/>
          <w:b w:val="0"/>
          <w:bCs w:val="0"/>
          <w:color w:val="000000" w:themeColor="text1"/>
          <w:spacing w:val="0"/>
          <w:sz w:val="36"/>
          <w:szCs w:val="36"/>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0"/>
          <w:sz w:val="52"/>
          <w:szCs w:val="52"/>
          <w:lang w:val="en-US" w:eastAsia="zh-CN"/>
          <w14:textFill>
            <w14:solidFill>
              <w14:schemeClr w14:val="tx1"/>
            </w14:solidFill>
          </w14:textFill>
        </w:rPr>
        <w:t>案</w:t>
      </w:r>
    </w:p>
    <w:p>
      <w:pPr>
        <w:pStyle w:val="8"/>
        <w:rPr>
          <w:rFonts w:hint="eastAsia" w:ascii="微软雅黑" w:hAnsi="微软雅黑" w:eastAsia="微软雅黑" w:cs="微软雅黑"/>
          <w:b w:val="0"/>
          <w:bCs w:val="0"/>
          <w:color w:val="000000" w:themeColor="text1"/>
          <w:spacing w:val="0"/>
          <w:sz w:val="36"/>
          <w:szCs w:val="36"/>
          <w:lang w:val="en-US" w:eastAsia="zh-CN"/>
          <w14:textFill>
            <w14:solidFill>
              <w14:schemeClr w14:val="tx1"/>
            </w14:solidFill>
          </w14:textFill>
        </w:rPr>
      </w:pPr>
    </w:p>
    <w:p>
      <w:pPr>
        <w:rPr>
          <w:rFonts w:hint="eastAsia" w:ascii="微软雅黑" w:hAnsi="微软雅黑" w:eastAsia="微软雅黑" w:cs="微软雅黑"/>
          <w:b w:val="0"/>
          <w:bCs w:val="0"/>
          <w:color w:val="000000" w:themeColor="text1"/>
          <w:spacing w:val="0"/>
          <w:sz w:val="36"/>
          <w:szCs w:val="36"/>
          <w:lang w:val="en-US" w:eastAsia="zh-CN"/>
          <w14:textFill>
            <w14:solidFill>
              <w14:schemeClr w14:val="tx1"/>
            </w14:solidFill>
          </w14:textFill>
        </w:rPr>
      </w:pPr>
    </w:p>
    <w:p>
      <w:pPr>
        <w:wordWrap/>
        <w:topLinePunct w:val="0"/>
        <w:autoSpaceDE/>
        <w:autoSpaceDN/>
        <w:bidi w:val="0"/>
        <w:spacing w:line="360" w:lineRule="auto"/>
        <w:jc w:val="both"/>
        <w:rPr>
          <w:rFonts w:hint="eastAsia"/>
          <w:color w:val="000000" w:themeColor="text1"/>
          <w:spacing w:val="0"/>
          <w14:textFill>
            <w14:solidFill>
              <w14:schemeClr w14:val="tx1"/>
            </w14:solidFill>
          </w14:textFill>
        </w:rPr>
      </w:pPr>
    </w:p>
    <w:p>
      <w:pPr>
        <w:wordWrap/>
        <w:topLinePunct w:val="0"/>
        <w:autoSpaceDE/>
        <w:autoSpaceDN/>
        <w:bidi w:val="0"/>
        <w:spacing w:line="360" w:lineRule="auto"/>
        <w:jc w:val="center"/>
        <w:rPr>
          <w:rFonts w:hint="eastAsia"/>
          <w:b/>
          <w:bCs/>
          <w:color w:val="000000" w:themeColor="text1"/>
          <w:spacing w:val="0"/>
          <w:sz w:val="36"/>
          <w:szCs w:val="36"/>
          <w14:textFill>
            <w14:solidFill>
              <w14:schemeClr w14:val="tx1"/>
            </w14:solidFill>
          </w14:textFill>
        </w:rPr>
      </w:pPr>
      <w:r>
        <w:rPr>
          <w:rFonts w:hint="eastAsia"/>
          <w:b/>
          <w:bCs/>
          <w:color w:val="000000" w:themeColor="text1"/>
          <w:spacing w:val="0"/>
          <w:sz w:val="36"/>
          <w:szCs w:val="36"/>
          <w14:textFill>
            <w14:solidFill>
              <w14:schemeClr w14:val="tx1"/>
            </w14:solidFill>
          </w14:textFill>
        </w:rPr>
        <w:t>四川自力建筑勘测设计有限公司</w:t>
      </w:r>
    </w:p>
    <w:p>
      <w:pPr>
        <w:wordWrap/>
        <w:topLinePunct w:val="0"/>
        <w:autoSpaceDE/>
        <w:autoSpaceDN/>
        <w:bidi w:val="0"/>
        <w:spacing w:line="360" w:lineRule="auto"/>
        <w:jc w:val="center"/>
        <w:rPr>
          <w:b/>
          <w:bCs/>
          <w:color w:val="000000" w:themeColor="text1"/>
          <w:spacing w:val="0"/>
          <w:sz w:val="36"/>
          <w:szCs w:val="36"/>
          <w14:textFill>
            <w14:solidFill>
              <w14:schemeClr w14:val="tx1"/>
            </w14:solidFill>
          </w14:textFill>
        </w:rPr>
      </w:pPr>
      <w:r>
        <w:rPr>
          <w:b/>
          <w:bCs/>
          <w:color w:val="000000" w:themeColor="text1"/>
          <w:spacing w:val="0"/>
          <w:sz w:val="36"/>
          <w:szCs w:val="36"/>
          <w14:textFill>
            <w14:solidFill>
              <w14:schemeClr w14:val="tx1"/>
            </w14:solidFill>
          </w14:textFill>
        </w:rPr>
        <w:t>二〇二</w:t>
      </w:r>
      <w:r>
        <w:rPr>
          <w:rFonts w:hint="eastAsia"/>
          <w:b/>
          <w:bCs/>
          <w:color w:val="000000" w:themeColor="text1"/>
          <w:spacing w:val="0"/>
          <w:sz w:val="36"/>
          <w:szCs w:val="36"/>
          <w:lang w:val="en-US" w:eastAsia="zh-CN"/>
          <w14:textFill>
            <w14:solidFill>
              <w14:schemeClr w14:val="tx1"/>
            </w14:solidFill>
          </w14:textFill>
        </w:rPr>
        <w:t>四</w:t>
      </w:r>
      <w:r>
        <w:rPr>
          <w:b/>
          <w:bCs/>
          <w:color w:val="000000" w:themeColor="text1"/>
          <w:spacing w:val="0"/>
          <w:sz w:val="36"/>
          <w:szCs w:val="36"/>
          <w14:textFill>
            <w14:solidFill>
              <w14:schemeClr w14:val="tx1"/>
            </w14:solidFill>
          </w14:textFill>
        </w:rPr>
        <w:t>年</w:t>
      </w:r>
      <w:r>
        <w:rPr>
          <w:rFonts w:hint="eastAsia"/>
          <w:b/>
          <w:bCs/>
          <w:color w:val="000000" w:themeColor="text1"/>
          <w:spacing w:val="0"/>
          <w:sz w:val="36"/>
          <w:szCs w:val="36"/>
          <w:lang w:val="en-US" w:eastAsia="zh-CN"/>
          <w14:textFill>
            <w14:solidFill>
              <w14:schemeClr w14:val="tx1"/>
            </w14:solidFill>
          </w14:textFill>
        </w:rPr>
        <w:t>一</w:t>
      </w:r>
      <w:r>
        <w:rPr>
          <w:b/>
          <w:bCs/>
          <w:color w:val="000000" w:themeColor="text1"/>
          <w:spacing w:val="0"/>
          <w:sz w:val="36"/>
          <w:szCs w:val="36"/>
          <w14:textFill>
            <w14:solidFill>
              <w14:schemeClr w14:val="tx1"/>
            </w14:solidFill>
          </w14:textFill>
        </w:rPr>
        <w:t>月</w:t>
      </w:r>
    </w:p>
    <w:p>
      <w:pPr>
        <w:wordWrap/>
        <w:topLinePunct w:val="0"/>
        <w:autoSpaceDE/>
        <w:autoSpaceDN/>
        <w:bidi w:val="0"/>
        <w:spacing w:line="360" w:lineRule="auto"/>
        <w:rPr>
          <w:b/>
          <w:bCs/>
          <w:color w:val="000000" w:themeColor="text1"/>
          <w:spacing w:val="0"/>
          <w:sz w:val="36"/>
          <w:szCs w:val="36"/>
          <w14:textFill>
            <w14:solidFill>
              <w14:schemeClr w14:val="tx1"/>
            </w14:solidFill>
          </w14:textFill>
        </w:rPr>
      </w:pPr>
    </w:p>
    <w:p>
      <w:pPr>
        <w:pStyle w:val="7"/>
        <w:tabs>
          <w:tab w:val="left" w:pos="540"/>
        </w:tabs>
        <w:ind w:left="0" w:leftChars="0" w:firstLine="0" w:firstLineChars="0"/>
        <w:rPr>
          <w:rFonts w:hint="eastAsia" w:eastAsia="宋体"/>
          <w:spacing w:val="0"/>
          <w:lang w:eastAsia="zh-CN"/>
        </w:rPr>
      </w:pPr>
    </w:p>
    <w:p>
      <w:pPr>
        <w:pStyle w:val="8"/>
        <w:rPr>
          <w:rFonts w:hint="eastAsia" w:eastAsia="宋体"/>
          <w:spacing w:val="0"/>
          <w:lang w:eastAsia="zh-CN"/>
        </w:rPr>
      </w:pPr>
    </w:p>
    <w:p>
      <w:pPr>
        <w:rPr>
          <w:rFonts w:hint="eastAsia"/>
          <w:lang w:eastAsia="zh-CN"/>
        </w:rPr>
      </w:pPr>
    </w:p>
    <w:p>
      <w:pPr>
        <w:pStyle w:val="14"/>
        <w:wordWrap/>
        <w:topLinePunct w:val="0"/>
        <w:autoSpaceDE/>
        <w:autoSpaceDN/>
        <w:bidi w:val="0"/>
        <w:spacing w:line="360" w:lineRule="auto"/>
        <w:rPr>
          <w:b/>
          <w:bCs/>
          <w:color w:val="000000" w:themeColor="text1"/>
          <w:spacing w:val="0"/>
          <w:sz w:val="36"/>
          <w:szCs w:val="36"/>
          <w14:textFill>
            <w14:solidFill>
              <w14:schemeClr w14:val="tx1"/>
            </w14:solidFill>
          </w14:textFill>
        </w:rPr>
      </w:pPr>
    </w:p>
    <w:p>
      <w:pPr>
        <w:pStyle w:val="7"/>
      </w:pPr>
    </w:p>
    <w:p>
      <w:pPr>
        <w:pStyle w:val="12"/>
        <w:tabs>
          <w:tab w:val="right" w:leader="dot" w:pos="8306"/>
        </w:tabs>
        <w:wordWrap/>
        <w:topLinePunct w:val="0"/>
        <w:autoSpaceDE/>
        <w:autoSpaceDN/>
        <w:bidi w:val="0"/>
        <w:spacing w:line="360" w:lineRule="auto"/>
        <w:jc w:val="center"/>
        <w:rPr>
          <w:rFonts w:hint="eastAsia" w:asciiTheme="minorEastAsia" w:hAnsiTheme="minorEastAsia" w:cstheme="minorEastAsia"/>
          <w:b/>
          <w:bCs/>
          <w:color w:val="000000" w:themeColor="text1"/>
          <w:spacing w:val="0"/>
          <w:sz w:val="32"/>
          <w:szCs w:val="32"/>
          <w:lang w:eastAsia="zh-CN"/>
          <w14:textFill>
            <w14:solidFill>
              <w14:schemeClr w14:val="tx1"/>
            </w14:solidFill>
          </w14:textFill>
        </w:rPr>
      </w:pPr>
      <w:r>
        <w:rPr>
          <w:rFonts w:hint="eastAsia" w:asciiTheme="minorEastAsia" w:hAnsiTheme="minorEastAsia" w:cstheme="minorEastAsia"/>
          <w:b/>
          <w:bCs/>
          <w:color w:val="000000" w:themeColor="text1"/>
          <w:spacing w:val="0"/>
          <w:sz w:val="32"/>
          <w:szCs w:val="32"/>
          <w:lang w:eastAsia="zh-CN"/>
          <w14:textFill>
            <w14:solidFill>
              <w14:schemeClr w14:val="tx1"/>
            </w14:solidFill>
          </w14:textFill>
        </w:rPr>
        <w:drawing>
          <wp:inline distT="0" distB="0" distL="114300" distR="114300">
            <wp:extent cx="4874895" cy="7435850"/>
            <wp:effectExtent l="0" t="0" r="1905" b="12700"/>
            <wp:docPr id="4" name="图片 4" descr="e43b6382eebf4eca76af7ec17ee6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43b6382eebf4eca76af7ec17ee6f3d"/>
                    <pic:cNvPicPr>
                      <a:picLocks noChangeAspect="1"/>
                    </pic:cNvPicPr>
                  </pic:nvPicPr>
                  <pic:blipFill>
                    <a:blip r:embed="rId14"/>
                    <a:stretch>
                      <a:fillRect/>
                    </a:stretch>
                  </pic:blipFill>
                  <pic:spPr>
                    <a:xfrm>
                      <a:off x="0" y="0"/>
                      <a:ext cx="4874895" cy="7435850"/>
                    </a:xfrm>
                    <a:prstGeom prst="rect">
                      <a:avLst/>
                    </a:prstGeom>
                  </pic:spPr>
                </pic:pic>
              </a:graphicData>
            </a:graphic>
          </wp:inline>
        </w:drawing>
      </w:r>
    </w:p>
    <w:p>
      <w:pPr>
        <w:pStyle w:val="2"/>
        <w:rPr>
          <w:rFonts w:hint="eastAsia"/>
          <w:lang w:eastAsia="zh-CN"/>
        </w:rPr>
      </w:pPr>
    </w:p>
    <w:p>
      <w:pPr>
        <w:pStyle w:val="7"/>
        <w:ind w:left="0" w:leftChars="0" w:firstLine="0" w:firstLineChars="0"/>
      </w:pPr>
      <w:r>
        <w:drawing>
          <wp:inline distT="0" distB="0" distL="114300" distR="114300">
            <wp:extent cx="5229225" cy="7800975"/>
            <wp:effectExtent l="0" t="0" r="952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5229225" cy="7800975"/>
                    </a:xfrm>
                    <a:prstGeom prst="rect">
                      <a:avLst/>
                    </a:prstGeom>
                    <a:noFill/>
                    <a:ln>
                      <a:noFill/>
                    </a:ln>
                  </pic:spPr>
                </pic:pic>
              </a:graphicData>
            </a:graphic>
          </wp:inline>
        </w:drawing>
      </w:r>
    </w:p>
    <w:p>
      <w:pPr>
        <w:rPr>
          <w:rFonts w:hint="eastAsia"/>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before="0" w:beforeLines="0" w:after="0" w:afterLines="0" w:line="240" w:lineRule="auto"/>
        <w:ind w:left="0" w:leftChars="0" w:right="0" w:rightChars="0" w:firstLine="0" w:firstLineChars="0"/>
        <w:jc w:val="center"/>
        <w:rPr>
          <w:sz w:val="44"/>
          <w:szCs w:val="44"/>
        </w:rPr>
      </w:pPr>
      <w:bookmarkStart w:id="0" w:name="_Toc16371_WPSOffice_Level1"/>
      <w:r>
        <w:rPr>
          <w:rFonts w:ascii="宋体" w:hAnsi="宋体" w:eastAsia="宋体"/>
          <w:sz w:val="44"/>
          <w:szCs w:val="44"/>
        </w:rPr>
        <w:t>目</w:t>
      </w:r>
      <w:r>
        <w:rPr>
          <w:rFonts w:hint="eastAsia" w:ascii="宋体" w:hAnsi="宋体" w:eastAsia="宋体"/>
          <w:sz w:val="44"/>
          <w:szCs w:val="44"/>
          <w:lang w:val="en-US" w:eastAsia="zh-CN"/>
        </w:rPr>
        <w:t xml:space="preserve">  </w:t>
      </w:r>
      <w:r>
        <w:rPr>
          <w:rFonts w:ascii="宋体" w:hAnsi="宋体" w:eastAsia="宋体"/>
          <w:sz w:val="44"/>
          <w:szCs w:val="44"/>
        </w:rPr>
        <w:t>录</w:t>
      </w:r>
    </w:p>
    <w:p>
      <w:pPr>
        <w:pStyle w:val="12"/>
        <w:tabs>
          <w:tab w:val="right" w:leader="dot" w:pos="8306"/>
        </w:tabs>
      </w:pPr>
      <w:r>
        <w:rPr>
          <w:sz w:val="36"/>
          <w:szCs w:val="36"/>
        </w:rPr>
        <w:fldChar w:fldCharType="begin"/>
      </w:r>
      <w:r>
        <w:rPr>
          <w:sz w:val="36"/>
          <w:szCs w:val="36"/>
        </w:rPr>
        <w:instrText xml:space="preserve">TOC \o "1-3" \h \u </w:instrText>
      </w:r>
      <w:r>
        <w:rPr>
          <w:sz w:val="36"/>
          <w:szCs w:val="36"/>
        </w:rPr>
        <w:fldChar w:fldCharType="separate"/>
      </w:r>
      <w:r>
        <w:rPr>
          <w:szCs w:val="36"/>
        </w:rPr>
        <w:fldChar w:fldCharType="begin"/>
      </w:r>
      <w:r>
        <w:rPr>
          <w:szCs w:val="36"/>
        </w:rPr>
        <w:instrText xml:space="preserve"> HYPERLINK \l _Toc15492 </w:instrText>
      </w:r>
      <w:r>
        <w:rPr>
          <w:szCs w:val="36"/>
        </w:rPr>
        <w:fldChar w:fldCharType="separate"/>
      </w:r>
      <w:r>
        <w:rPr>
          <w:rFonts w:hint="eastAsia"/>
        </w:rPr>
        <w:t>第一章  概述</w:t>
      </w:r>
      <w:r>
        <w:tab/>
      </w:r>
      <w:r>
        <w:fldChar w:fldCharType="begin"/>
      </w:r>
      <w:r>
        <w:instrText xml:space="preserve"> PAGEREF _Toc15492 \h </w:instrText>
      </w:r>
      <w:r>
        <w:fldChar w:fldCharType="separate"/>
      </w:r>
      <w:r>
        <w:t>1</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_Toc8669 </w:instrText>
      </w:r>
      <w:r>
        <w:rPr>
          <w:szCs w:val="36"/>
        </w:rPr>
        <w:fldChar w:fldCharType="separate"/>
      </w:r>
      <w:r>
        <w:rPr>
          <w:rFonts w:hint="eastAsia"/>
        </w:rPr>
        <w:t>1.1项目概况</w:t>
      </w:r>
      <w:r>
        <w:tab/>
      </w:r>
      <w:r>
        <w:fldChar w:fldCharType="begin"/>
      </w:r>
      <w:r>
        <w:instrText xml:space="preserve"> PAGEREF _Toc8669 \h </w:instrText>
      </w:r>
      <w:r>
        <w:fldChar w:fldCharType="separate"/>
      </w:r>
      <w:r>
        <w:t>1</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_Toc29937 </w:instrText>
      </w:r>
      <w:r>
        <w:rPr>
          <w:szCs w:val="36"/>
        </w:rPr>
        <w:fldChar w:fldCharType="separate"/>
      </w:r>
      <w:r>
        <w:rPr>
          <w:rFonts w:hint="eastAsia"/>
        </w:rPr>
        <w:t>1.2</w:t>
      </w:r>
      <w:r>
        <w:rPr>
          <w:rFonts w:hint="eastAsia"/>
          <w:lang w:eastAsia="zh-CN"/>
        </w:rPr>
        <w:t>项目单位概况</w:t>
      </w:r>
      <w:r>
        <w:tab/>
      </w:r>
      <w:r>
        <w:fldChar w:fldCharType="begin"/>
      </w:r>
      <w:r>
        <w:instrText xml:space="preserve"> PAGEREF _Toc29937 \h </w:instrText>
      </w:r>
      <w:r>
        <w:fldChar w:fldCharType="separate"/>
      </w:r>
      <w:r>
        <w:t>2</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_Toc21898 </w:instrText>
      </w:r>
      <w:r>
        <w:rPr>
          <w:szCs w:val="36"/>
        </w:rPr>
        <w:fldChar w:fldCharType="separate"/>
      </w:r>
      <w:r>
        <w:rPr>
          <w:rFonts w:hint="eastAsia"/>
        </w:rPr>
        <w:t>1.3</w:t>
      </w:r>
      <w:r>
        <w:rPr>
          <w:rFonts w:hint="eastAsia"/>
          <w:lang w:eastAsia="zh-CN"/>
        </w:rPr>
        <w:t>项目</w:t>
      </w:r>
      <w:r>
        <w:rPr>
          <w:rFonts w:hint="eastAsia"/>
        </w:rPr>
        <w:t>编制依据</w:t>
      </w:r>
      <w:r>
        <w:rPr>
          <w:rFonts w:hint="eastAsia"/>
          <w:lang w:eastAsia="zh-CN"/>
        </w:rPr>
        <w:t>与编制范围</w:t>
      </w:r>
      <w:r>
        <w:tab/>
      </w:r>
      <w:r>
        <w:fldChar w:fldCharType="begin"/>
      </w:r>
      <w:r>
        <w:instrText xml:space="preserve"> PAGEREF _Toc21898 \h </w:instrText>
      </w:r>
      <w:r>
        <w:fldChar w:fldCharType="separate"/>
      </w:r>
      <w:r>
        <w:t>2</w:t>
      </w:r>
      <w:r>
        <w:fldChar w:fldCharType="end"/>
      </w:r>
      <w:r>
        <w:rPr>
          <w:szCs w:val="36"/>
        </w:rPr>
        <w:fldChar w:fldCharType="end"/>
      </w:r>
    </w:p>
    <w:p>
      <w:pPr>
        <w:pStyle w:val="12"/>
        <w:tabs>
          <w:tab w:val="right" w:leader="dot" w:pos="8306"/>
        </w:tabs>
      </w:pPr>
      <w:r>
        <w:rPr>
          <w:szCs w:val="36"/>
        </w:rPr>
        <w:fldChar w:fldCharType="begin"/>
      </w:r>
      <w:r>
        <w:rPr>
          <w:szCs w:val="36"/>
        </w:rPr>
        <w:instrText xml:space="preserve"> HYPERLINK \l _Toc15542 </w:instrText>
      </w:r>
      <w:r>
        <w:rPr>
          <w:szCs w:val="36"/>
        </w:rPr>
        <w:fldChar w:fldCharType="separate"/>
      </w:r>
      <w:r>
        <w:rPr>
          <w:rFonts w:hint="eastAsia"/>
        </w:rPr>
        <w:t>第二章  项目建设背景及必要性</w:t>
      </w:r>
      <w:r>
        <w:tab/>
      </w:r>
      <w:r>
        <w:fldChar w:fldCharType="begin"/>
      </w:r>
      <w:r>
        <w:instrText xml:space="preserve"> PAGEREF _Toc15542 \h </w:instrText>
      </w:r>
      <w:r>
        <w:fldChar w:fldCharType="separate"/>
      </w:r>
      <w:r>
        <w:t>3</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_Toc26875 </w:instrText>
      </w:r>
      <w:r>
        <w:rPr>
          <w:szCs w:val="36"/>
        </w:rPr>
        <w:fldChar w:fldCharType="separate"/>
      </w:r>
      <w:r>
        <w:rPr>
          <w:rFonts w:hint="eastAsia"/>
        </w:rPr>
        <w:t>2.1项目建设背景</w:t>
      </w:r>
      <w:r>
        <w:tab/>
      </w:r>
      <w:r>
        <w:fldChar w:fldCharType="begin"/>
      </w:r>
      <w:r>
        <w:instrText xml:space="preserve"> PAGEREF _Toc26875 \h </w:instrText>
      </w:r>
      <w:r>
        <w:fldChar w:fldCharType="separate"/>
      </w:r>
      <w:r>
        <w:t>3</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_Toc2238 </w:instrText>
      </w:r>
      <w:r>
        <w:rPr>
          <w:szCs w:val="36"/>
        </w:rPr>
        <w:fldChar w:fldCharType="separate"/>
      </w:r>
      <w:r>
        <w:rPr>
          <w:rFonts w:hint="eastAsia"/>
        </w:rPr>
        <w:t>2.</w:t>
      </w:r>
      <w:r>
        <w:rPr>
          <w:rFonts w:hint="eastAsia"/>
          <w:lang w:val="en-US" w:eastAsia="zh-CN"/>
        </w:rPr>
        <w:t>2</w:t>
      </w:r>
      <w:r>
        <w:rPr>
          <w:rFonts w:hint="eastAsia"/>
          <w:lang w:eastAsia="zh-CN"/>
        </w:rPr>
        <w:t>规划政策符合性</w:t>
      </w:r>
      <w:r>
        <w:tab/>
      </w:r>
      <w:r>
        <w:fldChar w:fldCharType="begin"/>
      </w:r>
      <w:r>
        <w:instrText xml:space="preserve"> PAGEREF _Toc2238 \h </w:instrText>
      </w:r>
      <w:r>
        <w:fldChar w:fldCharType="separate"/>
      </w:r>
      <w:r>
        <w:t>3</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_Toc7663 </w:instrText>
      </w:r>
      <w:r>
        <w:rPr>
          <w:szCs w:val="36"/>
        </w:rPr>
        <w:fldChar w:fldCharType="separate"/>
      </w:r>
      <w:r>
        <w:rPr>
          <w:rFonts w:hint="eastAsia"/>
        </w:rPr>
        <w:t>2.</w:t>
      </w:r>
      <w:r>
        <w:rPr>
          <w:rFonts w:hint="eastAsia"/>
          <w:lang w:val="en-US" w:eastAsia="zh-CN"/>
        </w:rPr>
        <w:t>3</w:t>
      </w:r>
      <w:r>
        <w:rPr>
          <w:rFonts w:hint="eastAsia"/>
        </w:rPr>
        <w:t>项目建设必要性</w:t>
      </w:r>
      <w:r>
        <w:tab/>
      </w:r>
      <w:r>
        <w:fldChar w:fldCharType="begin"/>
      </w:r>
      <w:r>
        <w:instrText xml:space="preserve"> PAGEREF _Toc7663 \h </w:instrText>
      </w:r>
      <w:r>
        <w:fldChar w:fldCharType="separate"/>
      </w:r>
      <w:r>
        <w:t>4</w:t>
      </w:r>
      <w:r>
        <w:fldChar w:fldCharType="end"/>
      </w:r>
      <w:r>
        <w:rPr>
          <w:szCs w:val="36"/>
        </w:rPr>
        <w:fldChar w:fldCharType="end"/>
      </w:r>
    </w:p>
    <w:p>
      <w:pPr>
        <w:pStyle w:val="12"/>
        <w:tabs>
          <w:tab w:val="right" w:leader="dot" w:pos="8306"/>
        </w:tabs>
      </w:pPr>
      <w:r>
        <w:rPr>
          <w:szCs w:val="36"/>
        </w:rPr>
        <w:fldChar w:fldCharType="begin"/>
      </w:r>
      <w:r>
        <w:rPr>
          <w:szCs w:val="36"/>
        </w:rPr>
        <w:instrText xml:space="preserve"> HYPERLINK \l _Toc6756 </w:instrText>
      </w:r>
      <w:r>
        <w:rPr>
          <w:szCs w:val="36"/>
        </w:rPr>
        <w:fldChar w:fldCharType="separate"/>
      </w:r>
      <w:r>
        <w:rPr>
          <w:rFonts w:hint="eastAsia"/>
          <w:lang w:eastAsia="zh-CN"/>
        </w:rPr>
        <w:t>第三章</w:t>
      </w:r>
      <w:r>
        <w:rPr>
          <w:rFonts w:hint="eastAsia"/>
          <w:lang w:val="en-US" w:eastAsia="zh-CN"/>
        </w:rPr>
        <w:t xml:space="preserve"> 基础资料</w:t>
      </w:r>
      <w:r>
        <w:tab/>
      </w:r>
      <w:r>
        <w:fldChar w:fldCharType="begin"/>
      </w:r>
      <w:r>
        <w:instrText xml:space="preserve"> PAGEREF _Toc6756 \h </w:instrText>
      </w:r>
      <w:r>
        <w:fldChar w:fldCharType="separate"/>
      </w:r>
      <w:r>
        <w:t>5</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_Toc25752 </w:instrText>
      </w:r>
      <w:r>
        <w:rPr>
          <w:szCs w:val="36"/>
        </w:rPr>
        <w:fldChar w:fldCharType="separate"/>
      </w:r>
      <w:r>
        <w:rPr>
          <w:rFonts w:hint="eastAsia"/>
          <w:lang w:val="en-US" w:eastAsia="zh-CN"/>
        </w:rPr>
        <w:t>3.1地理位置</w:t>
      </w:r>
      <w:r>
        <w:tab/>
      </w:r>
      <w:r>
        <w:fldChar w:fldCharType="begin"/>
      </w:r>
      <w:r>
        <w:instrText xml:space="preserve"> PAGEREF _Toc25752 \h </w:instrText>
      </w:r>
      <w:r>
        <w:fldChar w:fldCharType="separate"/>
      </w:r>
      <w:r>
        <w:t>5</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_Toc11311 </w:instrText>
      </w:r>
      <w:r>
        <w:rPr>
          <w:szCs w:val="36"/>
        </w:rPr>
        <w:fldChar w:fldCharType="separate"/>
      </w:r>
      <w:r>
        <w:rPr>
          <w:rFonts w:hint="eastAsia"/>
          <w:lang w:val="en-US" w:eastAsia="zh-CN"/>
        </w:rPr>
        <w:t>3.2 自然概况</w:t>
      </w:r>
      <w:r>
        <w:tab/>
      </w:r>
      <w:r>
        <w:fldChar w:fldCharType="begin"/>
      </w:r>
      <w:r>
        <w:instrText xml:space="preserve"> PAGEREF _Toc11311 \h </w:instrText>
      </w:r>
      <w:r>
        <w:fldChar w:fldCharType="separate"/>
      </w:r>
      <w:r>
        <w:t>5</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_Toc29699 </w:instrText>
      </w:r>
      <w:r>
        <w:rPr>
          <w:szCs w:val="36"/>
        </w:rPr>
        <w:fldChar w:fldCharType="separate"/>
      </w:r>
      <w:r>
        <w:rPr>
          <w:rFonts w:hint="eastAsia"/>
          <w:lang w:val="en-US" w:eastAsia="zh-CN"/>
        </w:rPr>
        <w:t>3.3 气象及水文资料</w:t>
      </w:r>
      <w:r>
        <w:tab/>
      </w:r>
      <w:r>
        <w:fldChar w:fldCharType="begin"/>
      </w:r>
      <w:r>
        <w:instrText xml:space="preserve"> PAGEREF _Toc29699 \h </w:instrText>
      </w:r>
      <w:r>
        <w:fldChar w:fldCharType="separate"/>
      </w:r>
      <w:r>
        <w:t>6</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_Toc19757 </w:instrText>
      </w:r>
      <w:r>
        <w:rPr>
          <w:szCs w:val="36"/>
        </w:rPr>
        <w:fldChar w:fldCharType="separate"/>
      </w:r>
      <w:r>
        <w:rPr>
          <w:rFonts w:hint="eastAsia"/>
          <w:lang w:val="en-US" w:eastAsia="zh-CN"/>
        </w:rPr>
        <w:t>3.4 工程地质及水文地质</w:t>
      </w:r>
      <w:r>
        <w:tab/>
      </w:r>
      <w:r>
        <w:fldChar w:fldCharType="begin"/>
      </w:r>
      <w:r>
        <w:instrText xml:space="preserve"> PAGEREF _Toc19757 \h </w:instrText>
      </w:r>
      <w:r>
        <w:fldChar w:fldCharType="separate"/>
      </w:r>
      <w:r>
        <w:t>8</w:t>
      </w:r>
      <w:r>
        <w:fldChar w:fldCharType="end"/>
      </w:r>
      <w:r>
        <w:rPr>
          <w:szCs w:val="36"/>
        </w:rPr>
        <w:fldChar w:fldCharType="end"/>
      </w:r>
    </w:p>
    <w:p>
      <w:pPr>
        <w:pStyle w:val="12"/>
        <w:tabs>
          <w:tab w:val="right" w:leader="dot" w:pos="8306"/>
        </w:tabs>
      </w:pPr>
      <w:r>
        <w:rPr>
          <w:szCs w:val="36"/>
        </w:rPr>
        <w:fldChar w:fldCharType="begin"/>
      </w:r>
      <w:r>
        <w:rPr>
          <w:szCs w:val="36"/>
        </w:rPr>
        <w:instrText xml:space="preserve"> HYPERLINK \l _Toc19050 </w:instrText>
      </w:r>
      <w:r>
        <w:rPr>
          <w:szCs w:val="36"/>
        </w:rPr>
        <w:fldChar w:fldCharType="separate"/>
      </w:r>
      <w:r>
        <w:rPr>
          <w:rFonts w:hint="eastAsia" w:ascii="宋体" w:hAnsi="宋体" w:eastAsia="宋体" w:cs="宋体"/>
        </w:rPr>
        <w:t>第</w:t>
      </w:r>
      <w:r>
        <w:rPr>
          <w:rFonts w:hint="eastAsia" w:ascii="宋体" w:hAnsi="宋体" w:cs="宋体"/>
          <w:lang w:val="en-US" w:eastAsia="zh-CN"/>
        </w:rPr>
        <w:t>四</w:t>
      </w:r>
      <w:r>
        <w:rPr>
          <w:rFonts w:hint="eastAsia" w:ascii="宋体" w:hAnsi="宋体" w:eastAsia="宋体" w:cs="宋体"/>
        </w:rPr>
        <w:t>章  工程建设方案</w:t>
      </w:r>
      <w:r>
        <w:tab/>
      </w:r>
      <w:r>
        <w:fldChar w:fldCharType="begin"/>
      </w:r>
      <w:r>
        <w:instrText xml:space="preserve"> PAGEREF _Toc19050 \h </w:instrText>
      </w:r>
      <w:r>
        <w:fldChar w:fldCharType="separate"/>
      </w:r>
      <w:r>
        <w:t>16</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_Toc10354 </w:instrText>
      </w:r>
      <w:r>
        <w:rPr>
          <w:szCs w:val="36"/>
        </w:rPr>
        <w:fldChar w:fldCharType="separate"/>
      </w:r>
      <w:r>
        <w:rPr>
          <w:rFonts w:hint="eastAsia"/>
          <w:lang w:val="en-US" w:eastAsia="zh-CN"/>
        </w:rPr>
        <w:t>4.1管网设计</w:t>
      </w:r>
      <w:r>
        <w:tab/>
      </w:r>
      <w:r>
        <w:fldChar w:fldCharType="begin"/>
      </w:r>
      <w:r>
        <w:instrText xml:space="preserve"> PAGEREF _Toc10354 \h </w:instrText>
      </w:r>
      <w:r>
        <w:fldChar w:fldCharType="separate"/>
      </w:r>
      <w:r>
        <w:t>16</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_Toc32080 </w:instrText>
      </w:r>
      <w:r>
        <w:rPr>
          <w:szCs w:val="36"/>
        </w:rPr>
        <w:fldChar w:fldCharType="separate"/>
      </w:r>
      <w:r>
        <w:rPr>
          <w:rFonts w:hint="eastAsia"/>
          <w:lang w:val="en-US" w:eastAsia="zh-CN"/>
        </w:rPr>
        <w:t>4.2 管材比选</w:t>
      </w:r>
      <w:r>
        <w:tab/>
      </w:r>
      <w:r>
        <w:fldChar w:fldCharType="begin"/>
      </w:r>
      <w:r>
        <w:instrText xml:space="preserve"> PAGEREF _Toc32080 \h </w:instrText>
      </w:r>
      <w:r>
        <w:fldChar w:fldCharType="separate"/>
      </w:r>
      <w:r>
        <w:t>17</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_Toc8518 </w:instrText>
      </w:r>
      <w:r>
        <w:rPr>
          <w:szCs w:val="36"/>
        </w:rPr>
        <w:fldChar w:fldCharType="separate"/>
      </w:r>
      <w:r>
        <w:rPr>
          <w:rFonts w:hint="eastAsia"/>
          <w:lang w:val="en-US" w:eastAsia="zh-CN"/>
        </w:rPr>
        <w:t>4.3排水管网的主要工</w:t>
      </w:r>
      <w:bookmarkStart w:id="145" w:name="_GoBack"/>
      <w:bookmarkEnd w:id="145"/>
      <w:r>
        <w:rPr>
          <w:rFonts w:hint="eastAsia"/>
          <w:lang w:val="en-US" w:eastAsia="zh-CN"/>
        </w:rPr>
        <w:t>程量</w:t>
      </w:r>
      <w:r>
        <w:tab/>
      </w:r>
      <w:r>
        <w:fldChar w:fldCharType="begin"/>
      </w:r>
      <w:r>
        <w:instrText xml:space="preserve"> PAGEREF _Toc8518 \h </w:instrText>
      </w:r>
      <w:r>
        <w:fldChar w:fldCharType="separate"/>
      </w:r>
      <w:r>
        <w:t>21</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_Toc16226 </w:instrText>
      </w:r>
      <w:r>
        <w:rPr>
          <w:szCs w:val="36"/>
        </w:rPr>
        <w:fldChar w:fldCharType="separate"/>
      </w:r>
      <w:r>
        <w:rPr>
          <w:rFonts w:hint="eastAsia"/>
          <w:lang w:val="en-US" w:eastAsia="zh-CN"/>
        </w:rPr>
        <w:t>4.4污水水力计算</w:t>
      </w:r>
      <w:r>
        <w:tab/>
      </w:r>
      <w:r>
        <w:fldChar w:fldCharType="begin"/>
      </w:r>
      <w:r>
        <w:instrText xml:space="preserve"> PAGEREF _Toc16226 \h </w:instrText>
      </w:r>
      <w:r>
        <w:fldChar w:fldCharType="separate"/>
      </w:r>
      <w:r>
        <w:t>22</w:t>
      </w:r>
      <w:r>
        <w:fldChar w:fldCharType="end"/>
      </w:r>
      <w:r>
        <w:rPr>
          <w:szCs w:val="36"/>
        </w:rPr>
        <w:fldChar w:fldCharType="end"/>
      </w:r>
    </w:p>
    <w:p>
      <w:pPr>
        <w:pStyle w:val="12"/>
        <w:tabs>
          <w:tab w:val="right" w:leader="dot" w:pos="8306"/>
        </w:tabs>
      </w:pPr>
      <w:r>
        <w:rPr>
          <w:szCs w:val="36"/>
        </w:rPr>
        <w:fldChar w:fldCharType="begin"/>
      </w:r>
      <w:r>
        <w:rPr>
          <w:szCs w:val="36"/>
        </w:rPr>
        <w:instrText xml:space="preserve"> HYPERLINK \l _Toc12805 </w:instrText>
      </w:r>
      <w:r>
        <w:rPr>
          <w:szCs w:val="36"/>
        </w:rPr>
        <w:fldChar w:fldCharType="separate"/>
      </w:r>
      <w:r>
        <w:rPr>
          <w:rFonts w:hint="eastAsia"/>
          <w:lang w:val="en-US" w:eastAsia="zh-CN"/>
        </w:rPr>
        <w:t>第五章 项目的管理及实施计划</w:t>
      </w:r>
      <w:r>
        <w:tab/>
      </w:r>
      <w:r>
        <w:fldChar w:fldCharType="begin"/>
      </w:r>
      <w:r>
        <w:instrText xml:space="preserve"> PAGEREF _Toc12805 \h </w:instrText>
      </w:r>
      <w:r>
        <w:fldChar w:fldCharType="separate"/>
      </w:r>
      <w:r>
        <w:t>31</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_Toc29291 </w:instrText>
      </w:r>
      <w:r>
        <w:rPr>
          <w:szCs w:val="36"/>
        </w:rPr>
        <w:fldChar w:fldCharType="separate"/>
      </w:r>
      <w:r>
        <w:rPr>
          <w:rFonts w:hint="eastAsia"/>
          <w:lang w:val="en-US" w:eastAsia="zh-CN"/>
        </w:rPr>
        <w:t>5.1 实施原则</w:t>
      </w:r>
      <w:r>
        <w:tab/>
      </w:r>
      <w:r>
        <w:fldChar w:fldCharType="begin"/>
      </w:r>
      <w:r>
        <w:instrText xml:space="preserve"> PAGEREF _Toc29291 \h </w:instrText>
      </w:r>
      <w:r>
        <w:fldChar w:fldCharType="separate"/>
      </w:r>
      <w:r>
        <w:t>31</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_Toc10943 </w:instrText>
      </w:r>
      <w:r>
        <w:rPr>
          <w:szCs w:val="36"/>
        </w:rPr>
        <w:fldChar w:fldCharType="separate"/>
      </w:r>
      <w:r>
        <w:rPr>
          <w:rFonts w:hint="eastAsia"/>
          <w:lang w:val="en-US" w:eastAsia="zh-CN"/>
        </w:rPr>
        <w:t>5.2项目建设的管理机构</w:t>
      </w:r>
      <w:r>
        <w:tab/>
      </w:r>
      <w:r>
        <w:fldChar w:fldCharType="begin"/>
      </w:r>
      <w:r>
        <w:instrText xml:space="preserve"> PAGEREF _Toc10943 \h </w:instrText>
      </w:r>
      <w:r>
        <w:fldChar w:fldCharType="separate"/>
      </w:r>
      <w:r>
        <w:t>31</w:t>
      </w:r>
      <w:r>
        <w:fldChar w:fldCharType="end"/>
      </w:r>
      <w:r>
        <w:rPr>
          <w:szCs w:val="36"/>
        </w:rPr>
        <w:fldChar w:fldCharType="end"/>
      </w:r>
    </w:p>
    <w:p>
      <w:pPr>
        <w:pStyle w:val="2"/>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13"/>
        <w:tabs>
          <w:tab w:val="right" w:leader="dot" w:pos="8306"/>
        </w:tabs>
      </w:pPr>
      <w:r>
        <w:rPr>
          <w:szCs w:val="36"/>
        </w:rPr>
        <w:fldChar w:fldCharType="begin"/>
      </w:r>
      <w:r>
        <w:rPr>
          <w:szCs w:val="36"/>
        </w:rPr>
        <w:instrText xml:space="preserve"> HYPERLINK \l _Toc3550 </w:instrText>
      </w:r>
      <w:r>
        <w:rPr>
          <w:szCs w:val="36"/>
        </w:rPr>
        <w:fldChar w:fldCharType="separate"/>
      </w:r>
      <w:r>
        <w:rPr>
          <w:rFonts w:hint="eastAsia"/>
          <w:lang w:val="en-US" w:eastAsia="zh-CN"/>
        </w:rPr>
        <w:t>5.3 项目运行的管理机构</w:t>
      </w:r>
      <w:r>
        <w:tab/>
      </w:r>
      <w:r>
        <w:fldChar w:fldCharType="begin"/>
      </w:r>
      <w:r>
        <w:instrText xml:space="preserve"> PAGEREF _Toc3550 \h </w:instrText>
      </w:r>
      <w:r>
        <w:fldChar w:fldCharType="separate"/>
      </w:r>
      <w:r>
        <w:t>32</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_Toc5659 </w:instrText>
      </w:r>
      <w:r>
        <w:rPr>
          <w:szCs w:val="36"/>
        </w:rPr>
        <w:fldChar w:fldCharType="separate"/>
      </w:r>
      <w:r>
        <w:rPr>
          <w:rFonts w:hint="eastAsia"/>
          <w:lang w:val="en-US" w:eastAsia="zh-CN"/>
        </w:rPr>
        <w:t>5.4 工程进展</w:t>
      </w:r>
      <w:r>
        <w:tab/>
      </w:r>
      <w:r>
        <w:fldChar w:fldCharType="begin"/>
      </w:r>
      <w:r>
        <w:instrText xml:space="preserve"> PAGEREF _Toc5659 \h </w:instrText>
      </w:r>
      <w:r>
        <w:fldChar w:fldCharType="separate"/>
      </w:r>
      <w:r>
        <w:t>32</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_Toc9928 </w:instrText>
      </w:r>
      <w:r>
        <w:rPr>
          <w:szCs w:val="36"/>
        </w:rPr>
        <w:fldChar w:fldCharType="separate"/>
      </w:r>
      <w:r>
        <w:rPr>
          <w:rFonts w:hint="eastAsia"/>
          <w:lang w:val="en-US" w:eastAsia="zh-CN"/>
        </w:rPr>
        <w:t>5.5 设计施工及安装</w:t>
      </w:r>
      <w:r>
        <w:tab/>
      </w:r>
      <w:r>
        <w:fldChar w:fldCharType="begin"/>
      </w:r>
      <w:r>
        <w:instrText xml:space="preserve"> PAGEREF _Toc9928 \h </w:instrText>
      </w:r>
      <w:r>
        <w:fldChar w:fldCharType="separate"/>
      </w:r>
      <w:r>
        <w:t>33</w:t>
      </w:r>
      <w:r>
        <w:fldChar w:fldCharType="end"/>
      </w:r>
      <w:r>
        <w:rPr>
          <w:szCs w:val="36"/>
        </w:rPr>
        <w:fldChar w:fldCharType="end"/>
      </w:r>
    </w:p>
    <w:p>
      <w:pPr>
        <w:pStyle w:val="12"/>
        <w:tabs>
          <w:tab w:val="right" w:leader="dot" w:pos="8306"/>
        </w:tabs>
      </w:pPr>
      <w:r>
        <w:rPr>
          <w:szCs w:val="36"/>
        </w:rPr>
        <w:fldChar w:fldCharType="begin"/>
      </w:r>
      <w:r>
        <w:rPr>
          <w:szCs w:val="36"/>
        </w:rPr>
        <w:instrText xml:space="preserve"> HYPERLINK \l _Toc32264 </w:instrText>
      </w:r>
      <w:r>
        <w:rPr>
          <w:szCs w:val="36"/>
        </w:rPr>
        <w:fldChar w:fldCharType="separate"/>
      </w:r>
      <w:r>
        <w:rPr>
          <w:rFonts w:hint="eastAsia"/>
          <w:lang w:val="en-US" w:eastAsia="zh-CN"/>
        </w:rPr>
        <w:t>第六章 环境保护与安全生产</w:t>
      </w:r>
      <w:r>
        <w:tab/>
      </w:r>
      <w:r>
        <w:fldChar w:fldCharType="begin"/>
      </w:r>
      <w:r>
        <w:instrText xml:space="preserve"> PAGEREF _Toc32264 \h </w:instrText>
      </w:r>
      <w:r>
        <w:fldChar w:fldCharType="separate"/>
      </w:r>
      <w:r>
        <w:t>35</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_Toc3104 </w:instrText>
      </w:r>
      <w:r>
        <w:rPr>
          <w:szCs w:val="36"/>
        </w:rPr>
        <w:fldChar w:fldCharType="separate"/>
      </w:r>
      <w:r>
        <w:rPr>
          <w:rFonts w:hint="eastAsia"/>
          <w:lang w:val="en-US" w:eastAsia="zh-CN"/>
        </w:rPr>
        <w:t>6.1 环境保护标准</w:t>
      </w:r>
      <w:r>
        <w:tab/>
      </w:r>
      <w:r>
        <w:fldChar w:fldCharType="begin"/>
      </w:r>
      <w:r>
        <w:instrText xml:space="preserve"> PAGEREF _Toc3104 \h </w:instrText>
      </w:r>
      <w:r>
        <w:fldChar w:fldCharType="separate"/>
      </w:r>
      <w:r>
        <w:t>35</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_Toc22337 </w:instrText>
      </w:r>
      <w:r>
        <w:rPr>
          <w:szCs w:val="36"/>
        </w:rPr>
        <w:fldChar w:fldCharType="separate"/>
      </w:r>
      <w:r>
        <w:rPr>
          <w:rFonts w:hint="eastAsia"/>
          <w:lang w:val="en-US" w:eastAsia="zh-CN"/>
        </w:rPr>
        <w:t>6.2 排水设施保护</w:t>
      </w:r>
      <w:r>
        <w:tab/>
      </w:r>
      <w:r>
        <w:fldChar w:fldCharType="begin"/>
      </w:r>
      <w:r>
        <w:instrText xml:space="preserve"> PAGEREF _Toc22337 \h </w:instrText>
      </w:r>
      <w:r>
        <w:fldChar w:fldCharType="separate"/>
      </w:r>
      <w:r>
        <w:t>35</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_Toc17106 </w:instrText>
      </w:r>
      <w:r>
        <w:rPr>
          <w:szCs w:val="36"/>
        </w:rPr>
        <w:fldChar w:fldCharType="separate"/>
      </w:r>
      <w:r>
        <w:rPr>
          <w:rFonts w:hint="eastAsia"/>
          <w:lang w:val="en-US" w:eastAsia="zh-CN"/>
        </w:rPr>
        <w:t>6.3 环境保护</w:t>
      </w:r>
      <w:r>
        <w:tab/>
      </w:r>
      <w:r>
        <w:fldChar w:fldCharType="begin"/>
      </w:r>
      <w:r>
        <w:instrText xml:space="preserve"> PAGEREF _Toc17106 \h </w:instrText>
      </w:r>
      <w:r>
        <w:fldChar w:fldCharType="separate"/>
      </w:r>
      <w:r>
        <w:t>36</w:t>
      </w:r>
      <w:r>
        <w:fldChar w:fldCharType="end"/>
      </w:r>
      <w:r>
        <w:rPr>
          <w:szCs w:val="36"/>
        </w:rPr>
        <w:fldChar w:fldCharType="end"/>
      </w:r>
    </w:p>
    <w:p>
      <w:pPr>
        <w:pStyle w:val="12"/>
        <w:tabs>
          <w:tab w:val="right" w:leader="dot" w:pos="8306"/>
        </w:tabs>
      </w:pPr>
      <w:r>
        <w:rPr>
          <w:szCs w:val="36"/>
        </w:rPr>
        <w:fldChar w:fldCharType="begin"/>
      </w:r>
      <w:r>
        <w:rPr>
          <w:szCs w:val="36"/>
        </w:rPr>
        <w:instrText xml:space="preserve"> HYPERLINK \l _Toc20915 </w:instrText>
      </w:r>
      <w:r>
        <w:rPr>
          <w:szCs w:val="36"/>
        </w:rPr>
        <w:fldChar w:fldCharType="separate"/>
      </w:r>
      <w:r>
        <w:rPr>
          <w:rFonts w:hint="eastAsia"/>
          <w:lang w:val="en-US" w:eastAsia="zh-CN"/>
        </w:rPr>
        <w:t>第七章 节能</w:t>
      </w:r>
      <w:r>
        <w:tab/>
      </w:r>
      <w:r>
        <w:fldChar w:fldCharType="begin"/>
      </w:r>
      <w:r>
        <w:instrText xml:space="preserve"> PAGEREF _Toc20915 \h </w:instrText>
      </w:r>
      <w:r>
        <w:fldChar w:fldCharType="separate"/>
      </w:r>
      <w:r>
        <w:t>37</w:t>
      </w:r>
      <w:r>
        <w:fldChar w:fldCharType="end"/>
      </w:r>
      <w:r>
        <w:rPr>
          <w:szCs w:val="36"/>
        </w:rPr>
        <w:fldChar w:fldCharType="end"/>
      </w:r>
    </w:p>
    <w:p>
      <w:pPr>
        <w:pStyle w:val="12"/>
        <w:tabs>
          <w:tab w:val="right" w:leader="dot" w:pos="8306"/>
        </w:tabs>
      </w:pPr>
      <w:r>
        <w:rPr>
          <w:szCs w:val="36"/>
        </w:rPr>
        <w:fldChar w:fldCharType="begin"/>
      </w:r>
      <w:r>
        <w:rPr>
          <w:szCs w:val="36"/>
        </w:rPr>
        <w:instrText xml:space="preserve"> HYPERLINK \l _Toc18175 </w:instrText>
      </w:r>
      <w:r>
        <w:rPr>
          <w:szCs w:val="36"/>
        </w:rPr>
        <w:fldChar w:fldCharType="separate"/>
      </w:r>
      <w:r>
        <w:rPr>
          <w:rFonts w:hint="eastAsia"/>
          <w:lang w:val="en-US" w:eastAsia="zh-CN"/>
        </w:rPr>
        <w:t>第八章 劳动保护与安全卫生</w:t>
      </w:r>
      <w:r>
        <w:tab/>
      </w:r>
      <w:r>
        <w:fldChar w:fldCharType="begin"/>
      </w:r>
      <w:r>
        <w:instrText xml:space="preserve"> PAGEREF _Toc18175 \h </w:instrText>
      </w:r>
      <w:r>
        <w:fldChar w:fldCharType="separate"/>
      </w:r>
      <w:r>
        <w:t>38</w:t>
      </w:r>
      <w:r>
        <w:fldChar w:fldCharType="end"/>
      </w:r>
      <w:r>
        <w:rPr>
          <w:szCs w:val="36"/>
        </w:rPr>
        <w:fldChar w:fldCharType="end"/>
      </w:r>
    </w:p>
    <w:p>
      <w:pPr>
        <w:pStyle w:val="12"/>
        <w:tabs>
          <w:tab w:val="right" w:leader="dot" w:pos="8306"/>
        </w:tabs>
      </w:pPr>
      <w:r>
        <w:rPr>
          <w:szCs w:val="36"/>
        </w:rPr>
        <w:fldChar w:fldCharType="begin"/>
      </w:r>
      <w:r>
        <w:rPr>
          <w:szCs w:val="36"/>
        </w:rPr>
        <w:instrText xml:space="preserve"> HYPERLINK \l _Toc32065 </w:instrText>
      </w:r>
      <w:r>
        <w:rPr>
          <w:szCs w:val="36"/>
        </w:rPr>
        <w:fldChar w:fldCharType="separate"/>
      </w:r>
      <w:r>
        <w:rPr>
          <w:rFonts w:hint="eastAsia"/>
          <w:lang w:eastAsia="zh-CN"/>
        </w:rPr>
        <w:t>第</w:t>
      </w:r>
      <w:r>
        <w:rPr>
          <w:rFonts w:hint="eastAsia"/>
          <w:lang w:val="en-US" w:eastAsia="zh-CN"/>
        </w:rPr>
        <w:t>九</w:t>
      </w:r>
      <w:r>
        <w:rPr>
          <w:rFonts w:hint="eastAsia"/>
          <w:lang w:eastAsia="zh-CN"/>
        </w:rPr>
        <w:t>章</w:t>
      </w:r>
      <w:r>
        <w:rPr>
          <w:rFonts w:hint="eastAsia"/>
          <w:lang w:val="en-US" w:eastAsia="zh-CN"/>
        </w:rPr>
        <w:t xml:space="preserve"> </w:t>
      </w:r>
      <w:r>
        <w:rPr>
          <w:rFonts w:hint="eastAsia"/>
        </w:rPr>
        <w:t>项目投资</w:t>
      </w:r>
      <w:r>
        <w:tab/>
      </w:r>
      <w:r>
        <w:fldChar w:fldCharType="begin"/>
      </w:r>
      <w:r>
        <w:instrText xml:space="preserve"> PAGEREF _Toc32065 \h </w:instrText>
      </w:r>
      <w:r>
        <w:fldChar w:fldCharType="separate"/>
      </w:r>
      <w:r>
        <w:t>42</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_Toc25659 </w:instrText>
      </w:r>
      <w:r>
        <w:rPr>
          <w:szCs w:val="36"/>
        </w:rPr>
        <w:fldChar w:fldCharType="separate"/>
      </w:r>
      <w:r>
        <w:rPr>
          <w:rFonts w:hint="eastAsia"/>
          <w:lang w:val="en-US" w:eastAsia="zh-CN"/>
        </w:rPr>
        <w:t>9.1</w:t>
      </w:r>
      <w:r>
        <w:rPr>
          <w:rFonts w:hint="eastAsia"/>
        </w:rPr>
        <w:t>投资</w:t>
      </w:r>
      <w:r>
        <w:rPr>
          <w:rFonts w:hint="eastAsia"/>
          <w:lang w:val="en-US" w:eastAsia="zh-CN"/>
        </w:rPr>
        <w:t>概</w:t>
      </w:r>
      <w:r>
        <w:rPr>
          <w:rFonts w:hint="eastAsia"/>
        </w:rPr>
        <w:t>算</w:t>
      </w:r>
      <w:r>
        <w:tab/>
      </w:r>
      <w:r>
        <w:fldChar w:fldCharType="begin"/>
      </w:r>
      <w:r>
        <w:instrText xml:space="preserve"> PAGEREF _Toc25659 \h </w:instrText>
      </w:r>
      <w:r>
        <w:fldChar w:fldCharType="separate"/>
      </w:r>
      <w:r>
        <w:t>42</w:t>
      </w:r>
      <w:r>
        <w:fldChar w:fldCharType="end"/>
      </w:r>
      <w:r>
        <w:rPr>
          <w:szCs w:val="36"/>
        </w:rPr>
        <w:fldChar w:fldCharType="end"/>
      </w:r>
    </w:p>
    <w:p>
      <w:pPr>
        <w:pStyle w:val="12"/>
        <w:tabs>
          <w:tab w:val="right" w:leader="dot" w:pos="8306"/>
        </w:tabs>
      </w:pPr>
      <w:r>
        <w:rPr>
          <w:szCs w:val="36"/>
        </w:rPr>
        <w:fldChar w:fldCharType="begin"/>
      </w:r>
      <w:r>
        <w:rPr>
          <w:szCs w:val="36"/>
        </w:rPr>
        <w:instrText xml:space="preserve"> HYPERLINK \l _Toc28027 </w:instrText>
      </w:r>
      <w:r>
        <w:rPr>
          <w:szCs w:val="36"/>
        </w:rPr>
        <w:fldChar w:fldCharType="separate"/>
      </w:r>
      <w:r>
        <w:rPr>
          <w:rFonts w:hint="eastAsia"/>
          <w:lang w:eastAsia="zh-CN"/>
        </w:rPr>
        <w:t>第</w:t>
      </w:r>
      <w:r>
        <w:rPr>
          <w:rFonts w:hint="eastAsia"/>
          <w:lang w:val="en-US" w:eastAsia="zh-CN"/>
        </w:rPr>
        <w:t>十</w:t>
      </w:r>
      <w:r>
        <w:rPr>
          <w:rFonts w:hint="eastAsia"/>
          <w:lang w:eastAsia="zh-CN"/>
        </w:rPr>
        <w:t>章</w:t>
      </w:r>
      <w:r>
        <w:rPr>
          <w:rFonts w:hint="eastAsia"/>
          <w:lang w:val="en-US" w:eastAsia="zh-CN"/>
        </w:rPr>
        <w:t xml:space="preserve"> 工程招投标</w:t>
      </w:r>
      <w:r>
        <w:tab/>
      </w:r>
      <w:r>
        <w:fldChar w:fldCharType="begin"/>
      </w:r>
      <w:r>
        <w:instrText xml:space="preserve"> PAGEREF _Toc28027 \h </w:instrText>
      </w:r>
      <w:r>
        <w:fldChar w:fldCharType="separate"/>
      </w:r>
      <w:r>
        <w:t>45</w:t>
      </w:r>
      <w:r>
        <w:fldChar w:fldCharType="end"/>
      </w:r>
      <w:r>
        <w:rPr>
          <w:szCs w:val="36"/>
        </w:rPr>
        <w:fldChar w:fldCharType="end"/>
      </w:r>
    </w:p>
    <w:p>
      <w:pPr>
        <w:pStyle w:val="12"/>
        <w:tabs>
          <w:tab w:val="right" w:leader="dot" w:pos="8306"/>
        </w:tabs>
      </w:pPr>
      <w:r>
        <w:rPr>
          <w:szCs w:val="36"/>
        </w:rPr>
        <w:fldChar w:fldCharType="begin"/>
      </w:r>
      <w:r>
        <w:rPr>
          <w:szCs w:val="36"/>
        </w:rPr>
        <w:instrText xml:space="preserve"> HYPERLINK \l _Toc17628 </w:instrText>
      </w:r>
      <w:r>
        <w:rPr>
          <w:szCs w:val="36"/>
        </w:rPr>
        <w:fldChar w:fldCharType="separate"/>
      </w:r>
      <w:r>
        <w:rPr>
          <w:rFonts w:hint="eastAsia"/>
          <w:lang w:val="en-US" w:eastAsia="zh-CN"/>
        </w:rPr>
        <w:t>第十一章 结论和建议</w:t>
      </w:r>
      <w:r>
        <w:tab/>
      </w:r>
      <w:r>
        <w:fldChar w:fldCharType="begin"/>
      </w:r>
      <w:r>
        <w:instrText xml:space="preserve"> PAGEREF _Toc17628 \h </w:instrText>
      </w:r>
      <w:r>
        <w:fldChar w:fldCharType="separate"/>
      </w:r>
      <w:r>
        <w:t>51</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_Toc7238 </w:instrText>
      </w:r>
      <w:r>
        <w:rPr>
          <w:szCs w:val="36"/>
        </w:rPr>
        <w:fldChar w:fldCharType="separate"/>
      </w:r>
      <w:r>
        <w:rPr>
          <w:rFonts w:hint="eastAsia"/>
          <w:lang w:val="en-US" w:eastAsia="zh-CN"/>
        </w:rPr>
        <w:t>11.1 结论</w:t>
      </w:r>
      <w:r>
        <w:tab/>
      </w:r>
      <w:r>
        <w:fldChar w:fldCharType="begin"/>
      </w:r>
      <w:r>
        <w:instrText xml:space="preserve"> PAGEREF _Toc7238 \h </w:instrText>
      </w:r>
      <w:r>
        <w:fldChar w:fldCharType="separate"/>
      </w:r>
      <w:r>
        <w:t>51</w:t>
      </w:r>
      <w:r>
        <w:fldChar w:fldCharType="end"/>
      </w:r>
      <w:r>
        <w:rPr>
          <w:szCs w:val="36"/>
        </w:rPr>
        <w:fldChar w:fldCharType="end"/>
      </w:r>
    </w:p>
    <w:p>
      <w:pPr>
        <w:pStyle w:val="13"/>
        <w:tabs>
          <w:tab w:val="right" w:leader="dot" w:pos="8306"/>
        </w:tabs>
      </w:pPr>
      <w:r>
        <w:rPr>
          <w:szCs w:val="36"/>
        </w:rPr>
        <w:fldChar w:fldCharType="begin"/>
      </w:r>
      <w:r>
        <w:rPr>
          <w:szCs w:val="36"/>
        </w:rPr>
        <w:instrText xml:space="preserve"> HYPERLINK \l _Toc6289 </w:instrText>
      </w:r>
      <w:r>
        <w:rPr>
          <w:szCs w:val="36"/>
        </w:rPr>
        <w:fldChar w:fldCharType="separate"/>
      </w:r>
      <w:r>
        <w:rPr>
          <w:rFonts w:hint="eastAsia"/>
          <w:lang w:val="en-US" w:eastAsia="zh-CN"/>
        </w:rPr>
        <w:t>11.2 建议</w:t>
      </w:r>
      <w:r>
        <w:tab/>
      </w:r>
      <w:r>
        <w:fldChar w:fldCharType="begin"/>
      </w:r>
      <w:r>
        <w:instrText xml:space="preserve"> PAGEREF _Toc6289 \h </w:instrText>
      </w:r>
      <w:r>
        <w:fldChar w:fldCharType="separate"/>
      </w:r>
      <w:r>
        <w:t>51</w:t>
      </w:r>
      <w:r>
        <w:fldChar w:fldCharType="end"/>
      </w:r>
      <w:r>
        <w:rPr>
          <w:szCs w:val="36"/>
        </w:rPr>
        <w:fldChar w:fldCharType="end"/>
      </w:r>
    </w:p>
    <w:p>
      <w:r>
        <w:rPr>
          <w:szCs w:val="36"/>
        </w:rPr>
        <w:fldChar w:fldCharType="end"/>
      </w:r>
    </w:p>
    <w:p>
      <w:pPr>
        <w:pStyle w:val="12"/>
        <w:bidi w:val="0"/>
        <w:rPr>
          <w:rFonts w:hint="eastAsia"/>
        </w:rPr>
      </w:pPr>
      <w:bookmarkStart w:id="1" w:name="_Toc2714"/>
    </w:p>
    <w:p>
      <w:pPr>
        <w:rPr>
          <w:rFonts w:hint="eastAsia"/>
        </w:rPr>
      </w:pPr>
    </w:p>
    <w:p>
      <w:pPr>
        <w:pStyle w:val="2"/>
        <w:rPr>
          <w:rFonts w:hint="eastAsia"/>
        </w:rPr>
      </w:pPr>
    </w:p>
    <w:p>
      <w:pPr>
        <w:rPr>
          <w:rFonts w:hint="eastAsia"/>
        </w:rPr>
      </w:pPr>
    </w:p>
    <w:p>
      <w:pPr>
        <w:rPr>
          <w:rFonts w:hint="eastAsia"/>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3"/>
        <w:bidi w:val="0"/>
        <w:jc w:val="center"/>
        <w:rPr>
          <w:rFonts w:hint="eastAsia"/>
        </w:rPr>
      </w:pPr>
      <w:bookmarkStart w:id="2" w:name="_Toc15492"/>
      <w:r>
        <w:rPr>
          <w:rFonts w:hint="eastAsia"/>
        </w:rPr>
        <w:t>第一章  概述</w:t>
      </w:r>
      <w:bookmarkEnd w:id="0"/>
      <w:bookmarkEnd w:id="1"/>
      <w:bookmarkEnd w:id="2"/>
    </w:p>
    <w:p>
      <w:pPr>
        <w:pStyle w:val="4"/>
        <w:bidi w:val="0"/>
        <w:rPr>
          <w:rFonts w:hint="eastAsia"/>
        </w:rPr>
      </w:pPr>
      <w:bookmarkStart w:id="3" w:name="_Toc11639"/>
      <w:bookmarkStart w:id="4" w:name="_Toc8922_WPSOffice_Level2"/>
      <w:bookmarkStart w:id="5" w:name="_Toc18667"/>
      <w:bookmarkStart w:id="6" w:name="_Toc8669"/>
      <w:r>
        <w:rPr>
          <w:rFonts w:hint="eastAsia"/>
        </w:rPr>
        <w:t>1.1项目概况</w:t>
      </w:r>
      <w:bookmarkEnd w:id="3"/>
      <w:bookmarkEnd w:id="4"/>
      <w:bookmarkEnd w:id="5"/>
      <w:bookmarkEnd w:id="6"/>
    </w:p>
    <w:p>
      <w:pPr>
        <w:bidi w:val="0"/>
        <w:rPr>
          <w:rFonts w:hint="eastAsia"/>
          <w:b/>
          <w:bCs/>
        </w:rPr>
      </w:pPr>
      <w:bookmarkStart w:id="7" w:name="_Toc31939"/>
      <w:bookmarkStart w:id="8" w:name="_Toc11403"/>
      <w:r>
        <w:rPr>
          <w:rFonts w:hint="eastAsia"/>
          <w:b/>
          <w:bCs/>
        </w:rPr>
        <w:t>1.1.1项目名称</w:t>
      </w:r>
      <w:bookmarkEnd w:id="7"/>
      <w:bookmarkEnd w:id="8"/>
    </w:p>
    <w:p>
      <w:pPr>
        <w:bidi w:val="0"/>
        <w:rPr>
          <w:rFonts w:hint="eastAsia"/>
          <w:lang w:val="en-US" w:eastAsia="zh-CN"/>
        </w:rPr>
      </w:pPr>
      <w:bookmarkStart w:id="9" w:name="_Toc8403"/>
      <w:bookmarkStart w:id="10" w:name="_Toc2182"/>
      <w:r>
        <w:rPr>
          <w:rFonts w:hint="eastAsia"/>
          <w:lang w:val="en-US" w:eastAsia="zh-CN"/>
        </w:rPr>
        <w:t>塔城市阿不都拉乡水磨村粪污一体化项</w:t>
      </w:r>
    </w:p>
    <w:p>
      <w:pPr>
        <w:bidi w:val="0"/>
        <w:rPr>
          <w:rFonts w:hint="eastAsia"/>
          <w:b/>
          <w:bCs/>
        </w:rPr>
      </w:pPr>
      <w:r>
        <w:rPr>
          <w:rFonts w:hint="eastAsia"/>
          <w:b/>
          <w:bCs/>
        </w:rPr>
        <w:t>1.1.2 项目建设地点</w:t>
      </w:r>
      <w:bookmarkEnd w:id="9"/>
      <w:bookmarkEnd w:id="10"/>
    </w:p>
    <w:p>
      <w:pPr>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s="宋体"/>
          <w:color w:val="000000" w:themeColor="text1"/>
          <w:kern w:val="0"/>
          <w:sz w:val="28"/>
          <w:szCs w:val="28"/>
          <w:lang w:val="en-US" w:eastAsia="zh-CN"/>
          <w14:textFill>
            <w14:solidFill>
              <w14:schemeClr w14:val="tx1"/>
            </w14:solidFill>
          </w14:textFill>
        </w:rPr>
      </w:pPr>
      <w:bookmarkStart w:id="11" w:name="_Toc340603970"/>
      <w:bookmarkStart w:id="12" w:name="_Toc345408796"/>
      <w:bookmarkStart w:id="13" w:name="_Toc344206427"/>
      <w:bookmarkStart w:id="14" w:name="_Toc345232613"/>
      <w:bookmarkStart w:id="15" w:name="_Toc340594586"/>
      <w:bookmarkStart w:id="16" w:name="_Toc479707383"/>
      <w:bookmarkStart w:id="17" w:name="_Toc7027"/>
      <w:bookmarkStart w:id="18" w:name="_Toc475110611"/>
      <w:r>
        <w:rPr>
          <w:rFonts w:hint="eastAsia"/>
          <w:lang w:val="en-US" w:eastAsia="zh-CN"/>
        </w:rPr>
        <w:t>阿不都拉乡水磨</w:t>
      </w:r>
      <w:r>
        <w:rPr>
          <w:rFonts w:hint="eastAsia" w:ascii="宋体" w:hAnsi="宋体" w:eastAsia="宋体" w:cs="宋体"/>
          <w:color w:val="000000" w:themeColor="text1"/>
          <w:kern w:val="0"/>
          <w:sz w:val="28"/>
          <w:szCs w:val="28"/>
          <w:lang w:val="en-US" w:eastAsia="zh-CN"/>
          <w14:textFill>
            <w14:solidFill>
              <w14:schemeClr w14:val="tx1"/>
            </w14:solidFill>
          </w14:textFill>
        </w:rPr>
        <w:t>村</w:t>
      </w:r>
    </w:p>
    <w:p>
      <w:pPr>
        <w:bidi w:val="0"/>
        <w:rPr>
          <w:rFonts w:hint="eastAsia"/>
          <w:b/>
          <w:bCs/>
        </w:rPr>
      </w:pPr>
      <w:bookmarkStart w:id="19" w:name="_Toc30604"/>
      <w:r>
        <w:rPr>
          <w:rFonts w:hint="eastAsia"/>
          <w:b/>
          <w:bCs/>
        </w:rPr>
        <w:t>1.1.3 项目</w:t>
      </w:r>
      <w:bookmarkEnd w:id="11"/>
      <w:bookmarkEnd w:id="12"/>
      <w:bookmarkEnd w:id="13"/>
      <w:bookmarkEnd w:id="14"/>
      <w:bookmarkEnd w:id="15"/>
      <w:r>
        <w:rPr>
          <w:rFonts w:hint="eastAsia"/>
          <w:b/>
          <w:bCs/>
        </w:rPr>
        <w:t>建设单位</w:t>
      </w:r>
      <w:bookmarkEnd w:id="16"/>
      <w:bookmarkEnd w:id="17"/>
      <w:bookmarkEnd w:id="18"/>
      <w:bookmarkEnd w:id="19"/>
    </w:p>
    <w:p>
      <w:pPr>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s="宋体"/>
          <w:color w:val="000000" w:themeColor="text1"/>
          <w:kern w:val="0"/>
          <w:sz w:val="28"/>
          <w:szCs w:val="28"/>
          <w:lang w:eastAsia="zh-CN"/>
          <w14:textFill>
            <w14:solidFill>
              <w14:schemeClr w14:val="tx1"/>
            </w14:solidFill>
          </w14:textFill>
        </w:rPr>
      </w:pPr>
      <w:r>
        <w:rPr>
          <w:rFonts w:hint="eastAsia"/>
          <w:lang w:val="en-US" w:eastAsia="zh-CN"/>
        </w:rPr>
        <w:t>阿不都拉乡</w:t>
      </w:r>
      <w:r>
        <w:rPr>
          <w:rFonts w:hint="eastAsia" w:ascii="宋体" w:hAnsi="宋体" w:eastAsia="宋体" w:cs="宋体"/>
          <w:color w:val="000000" w:themeColor="text1"/>
          <w:kern w:val="0"/>
          <w:sz w:val="28"/>
          <w:szCs w:val="28"/>
          <w:lang w:val="en-US" w:eastAsia="zh-CN"/>
          <w14:textFill>
            <w14:solidFill>
              <w14:schemeClr w14:val="tx1"/>
            </w14:solidFill>
          </w14:textFill>
        </w:rPr>
        <w:t>人民政府</w:t>
      </w:r>
    </w:p>
    <w:p>
      <w:pPr>
        <w:bidi w:val="0"/>
        <w:rPr>
          <w:rFonts w:hint="eastAsia"/>
          <w:b/>
          <w:bCs/>
        </w:rPr>
      </w:pPr>
      <w:bookmarkStart w:id="20" w:name="_Toc479707382"/>
      <w:bookmarkStart w:id="21" w:name="_Toc9151"/>
      <w:bookmarkStart w:id="22" w:name="_Toc345232611"/>
      <w:bookmarkStart w:id="23" w:name="_Toc340594584"/>
      <w:bookmarkStart w:id="24" w:name="_Toc344206425"/>
      <w:bookmarkStart w:id="25" w:name="_Toc18015"/>
      <w:bookmarkStart w:id="26" w:name="_Toc475110610"/>
      <w:bookmarkStart w:id="27" w:name="_Toc340603968"/>
      <w:bookmarkStart w:id="28" w:name="_Toc345408795"/>
      <w:bookmarkStart w:id="29" w:name="_Toc345232614"/>
      <w:bookmarkStart w:id="30" w:name="_Toc340594587"/>
      <w:bookmarkStart w:id="31" w:name="_Toc340603971"/>
      <w:bookmarkStart w:id="32" w:name="_Toc345408797"/>
      <w:bookmarkStart w:id="33" w:name="_Toc344206428"/>
      <w:bookmarkStart w:id="34" w:name="_Toc479707384"/>
      <w:bookmarkStart w:id="35" w:name="_Toc475110612"/>
      <w:r>
        <w:rPr>
          <w:rFonts w:hint="eastAsia"/>
          <w:b/>
          <w:bCs/>
        </w:rPr>
        <w:t>1.1.4 项目性质</w:t>
      </w:r>
      <w:bookmarkEnd w:id="20"/>
      <w:bookmarkEnd w:id="21"/>
      <w:bookmarkEnd w:id="22"/>
      <w:bookmarkEnd w:id="23"/>
      <w:bookmarkEnd w:id="24"/>
      <w:bookmarkEnd w:id="25"/>
      <w:bookmarkEnd w:id="26"/>
      <w:bookmarkEnd w:id="27"/>
      <w:bookmarkEnd w:id="28"/>
    </w:p>
    <w:p>
      <w:pPr>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lang w:val="en-US" w:eastAsia="zh-CN"/>
        </w:rPr>
      </w:pPr>
      <w:bookmarkStart w:id="36" w:name="_Toc20902"/>
      <w:r>
        <w:rPr>
          <w:rFonts w:hint="eastAsia"/>
          <w:lang w:val="en-US" w:eastAsia="zh-CN"/>
        </w:rPr>
        <w:t>新建</w:t>
      </w:r>
    </w:p>
    <w:p>
      <w:pPr>
        <w:bidi w:val="0"/>
        <w:rPr>
          <w:rFonts w:hint="eastAsia"/>
          <w:b/>
          <w:bCs/>
        </w:rPr>
      </w:pPr>
      <w:bookmarkStart w:id="37" w:name="_Toc25286"/>
      <w:r>
        <w:rPr>
          <w:rFonts w:hint="eastAsia"/>
          <w:b/>
          <w:bCs/>
        </w:rPr>
        <w:t>1.1.5项目建设期</w:t>
      </w:r>
      <w:bookmarkEnd w:id="36"/>
      <w:bookmarkEnd w:id="37"/>
    </w:p>
    <w:p>
      <w:pPr>
        <w:pStyle w:val="20"/>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202</w:t>
      </w:r>
      <w:r>
        <w:rPr>
          <w:rFonts w:hint="eastAsia" w:ascii="宋体" w:hAnsi="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年</w:t>
      </w:r>
      <w:r>
        <w:rPr>
          <w:rFonts w:hint="eastAsia" w:ascii="宋体" w:hAnsi="宋体" w:cs="宋体"/>
          <w:color w:val="000000" w:themeColor="text1"/>
          <w:lang w:val="en-US" w:eastAsia="zh-CN"/>
          <w14:textFill>
            <w14:solidFill>
              <w14:schemeClr w14:val="tx1"/>
            </w14:solidFill>
          </w14:textFill>
        </w:rPr>
        <w:t>4月-2024年10月</w:t>
      </w:r>
    </w:p>
    <w:p>
      <w:pPr>
        <w:bidi w:val="0"/>
        <w:rPr>
          <w:rFonts w:hint="eastAsia"/>
          <w:b/>
          <w:bCs/>
        </w:rPr>
      </w:pPr>
      <w:bookmarkStart w:id="38" w:name="_Toc13919"/>
      <w:bookmarkStart w:id="39" w:name="_Toc3199"/>
      <w:r>
        <w:rPr>
          <w:rFonts w:hint="eastAsia"/>
          <w:b/>
          <w:bCs/>
        </w:rPr>
        <w:t>1.1.6项目建设规模和内容</w:t>
      </w:r>
      <w:bookmarkEnd w:id="29"/>
      <w:bookmarkEnd w:id="30"/>
      <w:bookmarkEnd w:id="31"/>
      <w:bookmarkEnd w:id="32"/>
      <w:bookmarkEnd w:id="33"/>
      <w:bookmarkEnd w:id="34"/>
      <w:bookmarkEnd w:id="35"/>
      <w:bookmarkEnd w:id="38"/>
      <w:bookmarkEnd w:id="39"/>
    </w:p>
    <w:p>
      <w:pPr>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水磨村</w:t>
      </w:r>
      <w:r>
        <w:rPr>
          <w:rFonts w:hint="eastAsia" w:ascii="宋体" w:hAnsi="宋体" w:eastAsia="宋体" w:cs="宋体"/>
          <w:color w:val="000000" w:themeColor="text1"/>
          <w:sz w:val="28"/>
          <w:szCs w:val="28"/>
          <w:lang w:val="en-US" w:eastAsia="zh-CN"/>
          <w14:textFill>
            <w14:solidFill>
              <w14:schemeClr w14:val="tx1"/>
            </w14:solidFill>
          </w14:textFill>
        </w:rPr>
        <w:t>污水管道铺设</w:t>
      </w:r>
      <w:r>
        <w:rPr>
          <w:rFonts w:hint="eastAsia" w:ascii="宋体" w:hAnsi="宋体" w:cs="宋体"/>
          <w:color w:val="000000" w:themeColor="text1"/>
          <w:sz w:val="28"/>
          <w:szCs w:val="28"/>
          <w:lang w:val="en-US" w:eastAsia="zh-CN"/>
          <w14:textFill>
            <w14:solidFill>
              <w14:schemeClr w14:val="tx1"/>
            </w14:solidFill>
          </w14:textFill>
        </w:rPr>
        <w:t>16</w:t>
      </w:r>
      <w:r>
        <w:rPr>
          <w:rFonts w:hint="eastAsia" w:ascii="宋体" w:hAnsi="宋体" w:eastAsia="宋体" w:cs="宋体"/>
          <w:color w:val="000000" w:themeColor="text1"/>
          <w:sz w:val="28"/>
          <w:szCs w:val="28"/>
          <w:lang w:val="en-US" w:eastAsia="zh-CN"/>
          <w14:textFill>
            <w14:solidFill>
              <w14:schemeClr w14:val="tx1"/>
            </w14:solidFill>
          </w14:textFill>
        </w:rPr>
        <w:t>公里左右，污水管网接入</w:t>
      </w:r>
      <w:r>
        <w:rPr>
          <w:rFonts w:hint="eastAsia" w:ascii="宋体" w:hAnsi="宋体" w:cs="宋体"/>
          <w:color w:val="000000" w:themeColor="text1"/>
          <w:sz w:val="28"/>
          <w:szCs w:val="28"/>
          <w:lang w:val="en-US" w:eastAsia="zh-CN"/>
          <w14:textFill>
            <w14:solidFill>
              <w14:schemeClr w14:val="tx1"/>
            </w14:solidFill>
          </w14:textFill>
        </w:rPr>
        <w:t>污水处理设备</w:t>
      </w:r>
      <w:r>
        <w:rPr>
          <w:rFonts w:hint="eastAsia" w:ascii="宋体" w:hAnsi="宋体" w:eastAsia="宋体" w:cs="宋体"/>
          <w:color w:val="000000" w:themeColor="text1"/>
          <w:sz w:val="28"/>
          <w:szCs w:val="28"/>
          <w:lang w:val="en-US" w:eastAsia="zh-CN"/>
          <w14:textFill>
            <w14:solidFill>
              <w14:schemeClr w14:val="tx1"/>
            </w14:solidFill>
          </w14:textFill>
        </w:rPr>
        <w:t>。本项目建成后将有利于提高</w:t>
      </w:r>
      <w:r>
        <w:rPr>
          <w:rFonts w:hint="eastAsia" w:ascii="宋体" w:hAnsi="宋体" w:cs="宋体"/>
          <w:color w:val="000000" w:themeColor="text1"/>
          <w:sz w:val="28"/>
          <w:szCs w:val="28"/>
          <w:lang w:val="en-US" w:eastAsia="zh-CN"/>
          <w14:textFill>
            <w14:solidFill>
              <w14:schemeClr w14:val="tx1"/>
            </w14:solidFill>
          </w14:textFill>
        </w:rPr>
        <w:t>村内</w:t>
      </w:r>
      <w:r>
        <w:rPr>
          <w:rFonts w:hint="eastAsia" w:ascii="宋体" w:hAnsi="宋体" w:eastAsia="宋体" w:cs="宋体"/>
          <w:color w:val="000000" w:themeColor="text1"/>
          <w:sz w:val="28"/>
          <w:szCs w:val="28"/>
          <w:lang w:val="en-US" w:eastAsia="zh-CN"/>
          <w14:textFill>
            <w14:solidFill>
              <w14:schemeClr w14:val="tx1"/>
            </w14:solidFill>
          </w14:textFill>
        </w:rPr>
        <w:t>的环境改善和保护，有效提升</w:t>
      </w:r>
      <w:r>
        <w:rPr>
          <w:rFonts w:hint="eastAsia"/>
          <w:lang w:val="en-US" w:eastAsia="zh-CN"/>
        </w:rPr>
        <w:t>水磨</w:t>
      </w:r>
      <w:r>
        <w:rPr>
          <w:rFonts w:hint="eastAsia" w:ascii="宋体" w:hAnsi="宋体" w:eastAsia="宋体" w:cs="宋体"/>
          <w:color w:val="000000" w:themeColor="text1"/>
          <w:kern w:val="0"/>
          <w:sz w:val="28"/>
          <w:szCs w:val="28"/>
          <w:lang w:val="en-US" w:eastAsia="zh-CN"/>
          <w14:textFill>
            <w14:solidFill>
              <w14:schemeClr w14:val="tx1"/>
            </w14:solidFill>
          </w14:textFill>
        </w:rPr>
        <w:t>村</w:t>
      </w:r>
      <w:r>
        <w:rPr>
          <w:rFonts w:hint="eastAsia" w:ascii="宋体" w:hAnsi="宋体" w:eastAsia="宋体" w:cs="宋体"/>
          <w:color w:val="000000" w:themeColor="text1"/>
          <w:sz w:val="28"/>
          <w:szCs w:val="28"/>
          <w:lang w:val="en-US" w:eastAsia="zh-CN"/>
          <w14:textFill>
            <w14:solidFill>
              <w14:schemeClr w14:val="tx1"/>
            </w14:solidFill>
          </w14:textFill>
        </w:rPr>
        <w:t>村的环境治理水平，提升基础设施设，改善</w:t>
      </w:r>
      <w:r>
        <w:rPr>
          <w:rFonts w:hint="eastAsia"/>
          <w:lang w:val="en-US" w:eastAsia="zh-CN"/>
        </w:rPr>
        <w:t>阿不都拉乡水磨</w:t>
      </w:r>
      <w:r>
        <w:rPr>
          <w:rFonts w:hint="eastAsia" w:ascii="宋体" w:hAnsi="宋体" w:eastAsia="宋体" w:cs="宋体"/>
          <w:color w:val="000000" w:themeColor="text1"/>
          <w:kern w:val="0"/>
          <w:sz w:val="28"/>
          <w:szCs w:val="28"/>
          <w:lang w:val="en-US" w:eastAsia="zh-CN"/>
          <w14:textFill>
            <w14:solidFill>
              <w14:schemeClr w14:val="tx1"/>
            </w14:solidFill>
          </w14:textFill>
        </w:rPr>
        <w:t>村</w:t>
      </w:r>
      <w:r>
        <w:rPr>
          <w:rFonts w:hint="eastAsia" w:ascii="宋体" w:hAnsi="宋体" w:eastAsia="宋体" w:cs="宋体"/>
          <w:color w:val="000000" w:themeColor="text1"/>
          <w:sz w:val="28"/>
          <w:szCs w:val="28"/>
          <w:lang w:val="en-US" w:eastAsia="zh-CN"/>
          <w14:textFill>
            <w14:solidFill>
              <w14:schemeClr w14:val="tx1"/>
            </w14:solidFill>
          </w14:textFill>
        </w:rPr>
        <w:t>排水条件，从而加快乡村振兴的步伐</w:t>
      </w:r>
      <w:r>
        <w:rPr>
          <w:rFonts w:hint="eastAsia" w:ascii="宋体" w:hAnsi="宋体" w:cs="宋体"/>
          <w:color w:val="000000" w:themeColor="text1"/>
          <w:sz w:val="28"/>
          <w:szCs w:val="28"/>
          <w:lang w:val="en-US" w:eastAsia="zh-CN"/>
          <w14:textFill>
            <w14:solidFill>
              <w14:schemeClr w14:val="tx1"/>
            </w14:solidFill>
          </w14:textFill>
        </w:rPr>
        <w:t>。</w:t>
      </w:r>
    </w:p>
    <w:p>
      <w:pPr>
        <w:bidi w:val="0"/>
        <w:rPr>
          <w:rFonts w:hint="eastAsia"/>
          <w:b/>
          <w:bCs/>
        </w:rPr>
      </w:pPr>
      <w:bookmarkStart w:id="40" w:name="_Toc340594589"/>
      <w:bookmarkStart w:id="41" w:name="_Toc345408799"/>
      <w:bookmarkStart w:id="42" w:name="_Toc475110614"/>
      <w:bookmarkStart w:id="43" w:name="_Toc345232616"/>
      <w:bookmarkStart w:id="44" w:name="_Toc1498"/>
      <w:bookmarkStart w:id="45" w:name="_Toc344206430"/>
      <w:bookmarkStart w:id="46" w:name="_Toc479707385"/>
      <w:bookmarkStart w:id="47" w:name="_Toc340603973"/>
      <w:bookmarkStart w:id="48" w:name="_Toc13431"/>
      <w:r>
        <w:rPr>
          <w:rFonts w:hint="eastAsia"/>
          <w:b/>
          <w:bCs/>
        </w:rPr>
        <w:t>1.1.7投资估算和资金筹措</w:t>
      </w:r>
      <w:bookmarkEnd w:id="40"/>
      <w:bookmarkEnd w:id="41"/>
      <w:bookmarkEnd w:id="42"/>
      <w:bookmarkEnd w:id="43"/>
      <w:bookmarkEnd w:id="44"/>
      <w:bookmarkEnd w:id="45"/>
      <w:bookmarkEnd w:id="46"/>
      <w:bookmarkEnd w:id="47"/>
      <w:bookmarkEnd w:id="48"/>
      <w:bookmarkStart w:id="49" w:name="_Toc345408800"/>
      <w:bookmarkStart w:id="50" w:name="_Toc345232617"/>
    </w:p>
    <w:p>
      <w:pPr>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lang w:val="en-US" w:eastAsia="zh-CN"/>
          <w14:textFill>
            <w14:solidFill>
              <w14:schemeClr w14:val="tx1"/>
            </w14:solidFill>
          </w14:textFill>
        </w:rPr>
        <w:t>1）</w:t>
      </w:r>
      <w:r>
        <w:rPr>
          <w:rFonts w:hint="eastAsia" w:ascii="宋体" w:hAnsi="宋体" w:eastAsia="宋体" w:cs="宋体"/>
          <w:b/>
          <w:color w:val="000000" w:themeColor="text1"/>
          <w:sz w:val="28"/>
          <w:szCs w:val="28"/>
          <w14:textFill>
            <w14:solidFill>
              <w14:schemeClr w14:val="tx1"/>
            </w14:solidFill>
          </w14:textFill>
        </w:rPr>
        <w:t>项目总投资</w:t>
      </w:r>
    </w:p>
    <w:p>
      <w:pPr>
        <w:pageBreakBefore w:val="0"/>
        <w:widowControl w:val="0"/>
        <w:kinsoku/>
        <w:wordWrap/>
        <w:overflowPunct/>
        <w:topLinePunct w:val="0"/>
        <w:autoSpaceDE/>
        <w:autoSpaceDN/>
        <w:bidi w:val="0"/>
        <w:adjustRightInd w:val="0"/>
        <w:snapToGrid w:val="0"/>
        <w:spacing w:line="360" w:lineRule="auto"/>
        <w:ind w:firstLine="54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本项目总投资</w:t>
      </w:r>
      <w:r>
        <w:rPr>
          <w:rFonts w:hint="eastAsia" w:ascii="宋体" w:hAnsi="宋体" w:cs="宋体"/>
          <w:color w:val="000000" w:themeColor="text1"/>
          <w:sz w:val="28"/>
          <w:szCs w:val="28"/>
          <w:lang w:val="en-US" w:eastAsia="zh-CN"/>
          <w14:textFill>
            <w14:solidFill>
              <w14:schemeClr w14:val="tx1"/>
            </w14:solidFill>
          </w14:textFill>
        </w:rPr>
        <w:t>397.2</w:t>
      </w:r>
      <w:r>
        <w:rPr>
          <w:rFonts w:hint="eastAsia" w:ascii="宋体" w:hAnsi="宋体" w:eastAsia="宋体" w:cs="宋体"/>
          <w:color w:val="000000" w:themeColor="text1"/>
          <w:sz w:val="28"/>
          <w:szCs w:val="28"/>
          <w:lang w:val="en-US" w:eastAsia="zh-CN"/>
          <w14:textFill>
            <w14:solidFill>
              <w14:schemeClr w14:val="tx1"/>
            </w14:solidFill>
          </w14:textFill>
        </w:rPr>
        <w:t>万元，其中建安工程费</w:t>
      </w:r>
      <w:r>
        <w:rPr>
          <w:rFonts w:hint="eastAsia" w:ascii="宋体" w:hAnsi="宋体" w:cs="宋体"/>
          <w:color w:val="000000" w:themeColor="text1"/>
          <w:sz w:val="28"/>
          <w:szCs w:val="28"/>
          <w:lang w:val="en-US" w:eastAsia="zh-CN"/>
          <w14:textFill>
            <w14:solidFill>
              <w14:schemeClr w14:val="tx1"/>
            </w14:solidFill>
          </w14:textFill>
        </w:rPr>
        <w:t>375.24</w:t>
      </w:r>
      <w:r>
        <w:rPr>
          <w:rFonts w:hint="eastAsia" w:ascii="宋体" w:hAnsi="宋体" w:eastAsia="宋体" w:cs="宋体"/>
          <w:color w:val="000000" w:themeColor="text1"/>
          <w:sz w:val="28"/>
          <w:szCs w:val="28"/>
          <w:lang w:val="en-US" w:eastAsia="zh-CN"/>
          <w14:textFill>
            <w14:solidFill>
              <w14:schemeClr w14:val="tx1"/>
            </w14:solidFill>
          </w14:textFill>
        </w:rPr>
        <w:t>万元，占总投资的9</w:t>
      </w:r>
      <w:r>
        <w:rPr>
          <w:rFonts w:hint="eastAsia" w:ascii="宋体" w:hAnsi="宋体" w:cs="宋体"/>
          <w:color w:val="000000" w:themeColor="text1"/>
          <w:sz w:val="28"/>
          <w:szCs w:val="28"/>
          <w:lang w:val="en-US" w:eastAsia="zh-CN"/>
          <w14:textFill>
            <w14:solidFill>
              <w14:schemeClr w14:val="tx1"/>
            </w14:solidFill>
          </w14:textFill>
        </w:rPr>
        <w:t>4.5</w:t>
      </w:r>
      <w:r>
        <w:rPr>
          <w:rFonts w:hint="eastAsia" w:ascii="宋体" w:hAnsi="宋体" w:eastAsia="宋体" w:cs="宋体"/>
          <w:color w:val="000000" w:themeColor="text1"/>
          <w:sz w:val="28"/>
          <w:szCs w:val="28"/>
          <w:lang w:val="en-US" w:eastAsia="zh-CN"/>
          <w14:textFill>
            <w14:solidFill>
              <w14:schemeClr w14:val="tx1"/>
            </w14:solidFill>
          </w14:textFill>
        </w:rPr>
        <w:t>%；建设其他费</w:t>
      </w:r>
      <w:r>
        <w:rPr>
          <w:rFonts w:hint="eastAsia" w:ascii="宋体" w:hAnsi="宋体" w:cs="宋体"/>
          <w:color w:val="000000" w:themeColor="text1"/>
          <w:sz w:val="28"/>
          <w:szCs w:val="28"/>
          <w:lang w:val="en-US" w:eastAsia="zh-CN"/>
          <w14:textFill>
            <w14:solidFill>
              <w14:schemeClr w14:val="tx1"/>
            </w14:solidFill>
          </w14:textFill>
        </w:rPr>
        <w:t>21.96</w:t>
      </w:r>
      <w:r>
        <w:rPr>
          <w:rFonts w:hint="eastAsia" w:ascii="宋体" w:hAnsi="宋体" w:eastAsia="宋体" w:cs="宋体"/>
          <w:color w:val="000000" w:themeColor="text1"/>
          <w:sz w:val="28"/>
          <w:szCs w:val="28"/>
          <w:lang w:val="en-US" w:eastAsia="zh-CN"/>
          <w14:textFill>
            <w14:solidFill>
              <w14:schemeClr w14:val="tx1"/>
            </w14:solidFill>
          </w14:textFill>
        </w:rPr>
        <w:t>万元，占总投资的</w:t>
      </w:r>
      <w:r>
        <w:rPr>
          <w:rFonts w:hint="eastAsia" w:ascii="宋体" w:hAnsi="宋体" w:cs="宋体"/>
          <w:color w:val="000000" w:themeColor="text1"/>
          <w:sz w:val="28"/>
          <w:szCs w:val="28"/>
          <w:lang w:val="en-US" w:eastAsia="zh-CN"/>
          <w14:textFill>
            <w14:solidFill>
              <w14:schemeClr w14:val="tx1"/>
            </w14:solidFill>
          </w14:textFill>
        </w:rPr>
        <w:t>5.5</w:t>
      </w:r>
      <w:r>
        <w:rPr>
          <w:rFonts w:hint="eastAsia" w:ascii="宋体" w:hAnsi="宋体" w:eastAsia="宋体" w:cs="宋体"/>
          <w:color w:val="000000" w:themeColor="text1"/>
          <w:sz w:val="28"/>
          <w:szCs w:val="28"/>
          <w:lang w:val="en-US" w:eastAsia="zh-CN"/>
          <w14:textFill>
            <w14:solidFill>
              <w14:schemeClr w14:val="tx1"/>
            </w14:solidFill>
          </w14:textFill>
        </w:rPr>
        <w:t>%。</w:t>
      </w:r>
    </w:p>
    <w:p>
      <w:pPr>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lang w:val="en-US" w:eastAsia="zh-CN"/>
          <w14:textFill>
            <w14:solidFill>
              <w14:schemeClr w14:val="tx1"/>
            </w14:solidFill>
          </w14:textFill>
        </w:rPr>
        <w:t>2）</w:t>
      </w:r>
      <w:r>
        <w:rPr>
          <w:rFonts w:hint="eastAsia" w:ascii="宋体" w:hAnsi="宋体" w:eastAsia="宋体" w:cs="宋体"/>
          <w:b/>
          <w:color w:val="000000" w:themeColor="text1"/>
          <w:sz w:val="28"/>
          <w:szCs w:val="28"/>
          <w14:textFill>
            <w14:solidFill>
              <w14:schemeClr w14:val="tx1"/>
            </w14:solidFill>
          </w14:textFill>
        </w:rPr>
        <w:t>资金筹措</w:t>
      </w:r>
    </w:p>
    <w:p>
      <w:pPr>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rPr>
      </w:pPr>
      <w:r>
        <w:rPr>
          <w:rFonts w:hint="eastAsia" w:ascii="宋体" w:hAnsi="宋体" w:eastAsia="宋体" w:cs="宋体"/>
          <w:lang w:val="en-US" w:eastAsia="zh-CN"/>
        </w:rPr>
        <w:t>本项目总投资为</w:t>
      </w:r>
      <w:r>
        <w:rPr>
          <w:rFonts w:hint="eastAsia" w:ascii="宋体" w:hAnsi="宋体" w:cs="宋体"/>
          <w:color w:val="000000" w:themeColor="text1"/>
          <w:sz w:val="28"/>
          <w:szCs w:val="28"/>
          <w:lang w:val="en-US" w:eastAsia="zh-CN"/>
          <w14:textFill>
            <w14:solidFill>
              <w14:schemeClr w14:val="tx1"/>
            </w14:solidFill>
          </w14:textFill>
        </w:rPr>
        <w:t>397.2</w:t>
      </w:r>
      <w:r>
        <w:rPr>
          <w:rFonts w:hint="eastAsia" w:ascii="宋体" w:hAnsi="宋体" w:eastAsia="宋体" w:cs="宋体"/>
          <w:lang w:val="en-US" w:eastAsia="zh-CN"/>
        </w:rPr>
        <w:t>万元。</w:t>
      </w:r>
      <w:r>
        <w:rPr>
          <w:rFonts w:hint="eastAsia" w:ascii="宋体" w:hAnsi="宋体" w:cs="宋体"/>
          <w:lang w:val="en-US" w:eastAsia="zh-CN"/>
        </w:rPr>
        <w:t>项目资金为自治区衔接资金</w:t>
      </w:r>
      <w:r>
        <w:rPr>
          <w:rFonts w:hint="eastAsia" w:ascii="宋体" w:hAnsi="宋体" w:eastAsia="宋体" w:cs="宋体"/>
          <w:lang w:val="en-US" w:eastAsia="zh-CN"/>
        </w:rPr>
        <w:t>。</w:t>
      </w:r>
    </w:p>
    <w:bookmarkEnd w:id="49"/>
    <w:bookmarkEnd w:id="50"/>
    <w:p>
      <w:pPr>
        <w:pStyle w:val="4"/>
        <w:bidi w:val="0"/>
        <w:rPr>
          <w:rFonts w:hint="eastAsia"/>
          <w:lang w:eastAsia="zh-CN"/>
        </w:rPr>
      </w:pPr>
      <w:bookmarkStart w:id="51" w:name="_Toc13720"/>
      <w:bookmarkStart w:id="52" w:name="_Toc29937"/>
      <w:bookmarkStart w:id="53" w:name="_Toc14046_WPSOffice_Level2"/>
      <w:bookmarkStart w:id="54" w:name="_Toc15360"/>
      <w:r>
        <w:rPr>
          <w:rFonts w:hint="eastAsia"/>
        </w:rPr>
        <w:t>1.2</w:t>
      </w:r>
      <w:bookmarkEnd w:id="51"/>
      <w:r>
        <w:rPr>
          <w:rFonts w:hint="eastAsia"/>
          <w:lang w:eastAsia="zh-CN"/>
        </w:rPr>
        <w:t>项目单位概况</w:t>
      </w:r>
      <w:bookmarkEnd w:id="52"/>
      <w:bookmarkEnd w:id="53"/>
      <w:bookmarkEnd w:id="54"/>
    </w:p>
    <w:p>
      <w:pPr>
        <w:pageBreakBefore w:val="0"/>
        <w:kinsoku/>
        <w:overflowPunct/>
        <w:bidi w:val="0"/>
        <w:spacing w:line="360" w:lineRule="auto"/>
        <w:ind w:firstLine="560" w:firstLineChars="200"/>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cs="宋体"/>
          <w:lang w:val="en-US" w:eastAsia="zh-CN"/>
        </w:rPr>
        <w:t>水磨村</w:t>
      </w:r>
      <w:r>
        <w:rPr>
          <w:rFonts w:hint="eastAsia" w:ascii="宋体" w:hAnsi="宋体" w:eastAsia="宋体" w:cs="宋体"/>
          <w:lang w:val="en-US" w:eastAsia="zh-CN"/>
        </w:rPr>
        <w:t>村，位于</w:t>
      </w:r>
      <w:r>
        <w:rPr>
          <w:rFonts w:hint="eastAsia"/>
          <w:lang w:val="en-US" w:eastAsia="zh-CN"/>
        </w:rPr>
        <w:t>阿不都拉乡乡</w:t>
      </w:r>
      <w:r>
        <w:rPr>
          <w:rFonts w:hint="eastAsia" w:ascii="宋体" w:hAnsi="宋体" w:eastAsia="宋体" w:cs="宋体"/>
          <w:lang w:val="en-US" w:eastAsia="zh-CN"/>
        </w:rPr>
        <w:t>政府东</w:t>
      </w:r>
      <w:r>
        <w:rPr>
          <w:rFonts w:hint="eastAsia" w:ascii="宋体" w:hAnsi="宋体" w:cs="宋体"/>
          <w:lang w:val="en-US" w:eastAsia="zh-CN"/>
        </w:rPr>
        <w:t>西北</w:t>
      </w:r>
      <w:r>
        <w:rPr>
          <w:rFonts w:hint="eastAsia" w:ascii="宋体" w:hAnsi="宋体" w:eastAsia="宋体" w:cs="宋体"/>
          <w:lang w:val="en-US" w:eastAsia="zh-CN"/>
        </w:rPr>
        <w:t>部</w:t>
      </w:r>
      <w:r>
        <w:rPr>
          <w:rFonts w:hint="eastAsia" w:ascii="宋体" w:hAnsi="宋体" w:cs="宋体"/>
          <w:lang w:val="en-US" w:eastAsia="zh-CN"/>
        </w:rPr>
        <w:t>3.5</w:t>
      </w:r>
      <w:r>
        <w:rPr>
          <w:rFonts w:hint="eastAsia" w:ascii="宋体" w:hAnsi="宋体" w:eastAsia="宋体" w:cs="宋体"/>
          <w:lang w:val="en-US" w:eastAsia="zh-CN"/>
        </w:rPr>
        <w:t>公里处，</w:t>
      </w:r>
      <w:r>
        <w:rPr>
          <w:rFonts w:hint="eastAsia" w:ascii="宋体" w:hAnsi="宋体" w:cs="宋体"/>
          <w:lang w:val="en-US" w:eastAsia="zh-CN"/>
        </w:rPr>
        <w:t>全村户数共203户，常住户为157户，人口共计603人</w:t>
      </w:r>
      <w:r>
        <w:rPr>
          <w:rFonts w:hint="eastAsia" w:ascii="宋体" w:hAnsi="宋体" w:eastAsia="宋体" w:cs="宋体"/>
          <w:color w:val="000000" w:themeColor="text1"/>
          <w:kern w:val="2"/>
          <w:sz w:val="28"/>
          <w:szCs w:val="28"/>
          <w:lang w:val="en-US" w:eastAsia="zh-CN" w:bidi="ar-SA"/>
          <w14:textFill>
            <w14:solidFill>
              <w14:schemeClr w14:val="tx1"/>
            </w14:solidFill>
          </w14:textFill>
        </w:rPr>
        <w:t>。</w:t>
      </w:r>
    </w:p>
    <w:p>
      <w:pPr>
        <w:pStyle w:val="4"/>
        <w:bidi w:val="0"/>
        <w:rPr>
          <w:rFonts w:hint="eastAsia"/>
          <w:lang w:eastAsia="zh-CN"/>
        </w:rPr>
      </w:pPr>
      <w:bookmarkStart w:id="55" w:name="_Toc11371_WPSOffice_Level2"/>
      <w:bookmarkStart w:id="56" w:name="_Toc32619"/>
      <w:bookmarkStart w:id="57" w:name="_Toc8314"/>
      <w:bookmarkStart w:id="58" w:name="_Toc21898"/>
      <w:r>
        <w:rPr>
          <w:rFonts w:hint="eastAsia"/>
        </w:rPr>
        <w:t>1.3</w:t>
      </w:r>
      <w:r>
        <w:rPr>
          <w:rFonts w:hint="eastAsia"/>
          <w:lang w:eastAsia="zh-CN"/>
        </w:rPr>
        <w:t>项目</w:t>
      </w:r>
      <w:r>
        <w:rPr>
          <w:rFonts w:hint="eastAsia"/>
        </w:rPr>
        <w:t>编制依据</w:t>
      </w:r>
      <w:bookmarkEnd w:id="55"/>
      <w:bookmarkEnd w:id="56"/>
      <w:r>
        <w:rPr>
          <w:rFonts w:hint="eastAsia"/>
          <w:lang w:eastAsia="zh-CN"/>
        </w:rPr>
        <w:t>与编制范围</w:t>
      </w:r>
      <w:bookmarkEnd w:id="57"/>
      <w:bookmarkEnd w:id="58"/>
    </w:p>
    <w:p>
      <w:pPr>
        <w:bidi w:val="0"/>
        <w:rPr>
          <w:rFonts w:hint="eastAsia"/>
          <w:b/>
          <w:bCs/>
          <w:lang w:val="en-US" w:eastAsia="zh-CN"/>
        </w:rPr>
      </w:pPr>
      <w:bookmarkStart w:id="59" w:name="_Toc479707387"/>
      <w:bookmarkStart w:id="60" w:name="_Toc345408803"/>
      <w:bookmarkStart w:id="61" w:name="_Toc7535"/>
      <w:bookmarkStart w:id="62" w:name="_Toc475110616"/>
      <w:bookmarkStart w:id="63" w:name="_Toc345232620"/>
      <w:r>
        <w:rPr>
          <w:rFonts w:hint="eastAsia"/>
          <w:b/>
          <w:bCs/>
        </w:rPr>
        <w:t xml:space="preserve"> 编制依据</w:t>
      </w:r>
      <w:bookmarkEnd w:id="59"/>
      <w:bookmarkEnd w:id="60"/>
      <w:bookmarkEnd w:id="61"/>
      <w:bookmarkEnd w:id="62"/>
      <w:bookmarkEnd w:id="63"/>
      <w:bookmarkStart w:id="64" w:name="_Toc479707388"/>
      <w:bookmarkStart w:id="65" w:name="_Toc475110617"/>
      <w:bookmarkStart w:id="66" w:name="_Toc345408804"/>
      <w:r>
        <w:rPr>
          <w:rFonts w:hint="eastAsia"/>
          <w:b/>
          <w:bCs/>
          <w:lang w:val="en-US" w:eastAsia="zh-CN"/>
        </w:rPr>
        <w:t xml:space="preserve"> </w:t>
      </w:r>
    </w:p>
    <w:p>
      <w:pPr>
        <w:bidi w:val="0"/>
        <w:ind w:firstLine="560" w:firstLineChars="200"/>
        <w:rPr>
          <w:rFonts w:hint="eastAsia"/>
          <w:lang w:val="en-US" w:eastAsia="zh-CN"/>
        </w:rPr>
      </w:pPr>
      <w:r>
        <w:rPr>
          <w:rFonts w:hint="eastAsia"/>
          <w:lang w:val="en-US" w:eastAsia="zh-CN"/>
        </w:rPr>
        <w:t>1.《中共中央、国务院关于全面推进乡村振兴加快农业农村现代化的意见》（中发〔2021〕1 号）</w:t>
      </w:r>
    </w:p>
    <w:p>
      <w:pPr>
        <w:bidi w:val="0"/>
        <w:ind w:firstLine="560" w:firstLineChars="200"/>
        <w:rPr>
          <w:rFonts w:hint="eastAsia"/>
          <w:lang w:val="en-US" w:eastAsia="zh-CN"/>
        </w:rPr>
      </w:pPr>
      <w:r>
        <w:rPr>
          <w:rFonts w:hint="eastAsia"/>
          <w:lang w:val="en-US" w:eastAsia="zh-CN"/>
        </w:rPr>
        <w:t>2.《中共中央、国务院关于实现巩固拓展脱贫攻坚成果同乡村振兴有效衔接的意见》（中发〔2020〕30 号）</w:t>
      </w:r>
    </w:p>
    <w:p>
      <w:pPr>
        <w:bidi w:val="0"/>
        <w:ind w:firstLine="560" w:firstLineChars="200"/>
        <w:rPr>
          <w:rFonts w:hint="eastAsia"/>
          <w:lang w:val="en-US" w:eastAsia="zh-CN"/>
        </w:rPr>
      </w:pPr>
      <w:r>
        <w:rPr>
          <w:rFonts w:hint="eastAsia"/>
          <w:lang w:val="en-US" w:eastAsia="zh-CN"/>
        </w:rPr>
        <w:t>3.关于做好2021年中央财政衔接推进乡村振兴补助资金（巩固拓展脱贫攻坚成果和乡村振兴任务）管理使用工作的通知</w:t>
      </w:r>
    </w:p>
    <w:p>
      <w:pPr>
        <w:bidi w:val="0"/>
        <w:ind w:firstLine="560" w:firstLineChars="200"/>
        <w:rPr>
          <w:rFonts w:hint="eastAsia"/>
          <w:lang w:val="en-US" w:eastAsia="zh-CN"/>
        </w:rPr>
      </w:pPr>
      <w:r>
        <w:rPr>
          <w:rFonts w:hint="eastAsia"/>
          <w:lang w:val="en-US" w:eastAsia="zh-CN"/>
        </w:rPr>
        <w:t>4.《塔城市总体规划》</w:t>
      </w:r>
    </w:p>
    <w:p>
      <w:pPr>
        <w:bidi w:val="0"/>
        <w:ind w:firstLine="560" w:firstLineChars="200"/>
        <w:rPr>
          <w:rFonts w:hint="eastAsia"/>
          <w:lang w:val="en-US" w:eastAsia="zh-CN"/>
        </w:rPr>
      </w:pPr>
      <w:r>
        <w:rPr>
          <w:rFonts w:hint="eastAsia"/>
          <w:lang w:val="en-US" w:eastAsia="zh-CN"/>
        </w:rPr>
        <w:t>5.《塔城市十四五发展规划》；</w:t>
      </w:r>
    </w:p>
    <w:p>
      <w:pPr>
        <w:bidi w:val="0"/>
        <w:ind w:firstLine="560" w:firstLineChars="200"/>
        <w:rPr>
          <w:rFonts w:hint="eastAsia"/>
          <w:lang w:val="en-US" w:eastAsia="zh-CN"/>
        </w:rPr>
      </w:pPr>
      <w:r>
        <w:rPr>
          <w:rFonts w:hint="eastAsia"/>
          <w:lang w:val="en-US" w:eastAsia="zh-CN"/>
        </w:rPr>
        <w:t>6.建设单位提供的其他与项目有关的资料。</w:t>
      </w:r>
    </w:p>
    <w:p>
      <w:pPr>
        <w:bidi w:val="0"/>
        <w:rPr>
          <w:rFonts w:hint="eastAsia"/>
          <w:b/>
          <w:bCs/>
          <w:lang w:val="en-US" w:eastAsia="zh-CN"/>
        </w:rPr>
      </w:pPr>
      <w:r>
        <w:rPr>
          <w:rFonts w:hint="eastAsia"/>
          <w:b/>
          <w:bCs/>
          <w:lang w:val="en-US" w:eastAsia="zh-CN"/>
        </w:rPr>
        <w:t>国家标准和规范</w:t>
      </w:r>
    </w:p>
    <w:p>
      <w:pPr>
        <w:bidi w:val="0"/>
        <w:ind w:firstLine="560" w:firstLineChars="200"/>
        <w:rPr>
          <w:rFonts w:hint="eastAsia"/>
          <w:lang w:val="en-US" w:eastAsia="zh-CN"/>
        </w:rPr>
      </w:pPr>
      <w:r>
        <w:rPr>
          <w:rFonts w:hint="eastAsia"/>
          <w:lang w:val="en-US" w:eastAsia="zh-CN"/>
        </w:rPr>
        <w:t>《市政公用工程设计文件编制深度规定》</w:t>
      </w:r>
    </w:p>
    <w:p>
      <w:pPr>
        <w:bidi w:val="0"/>
        <w:ind w:firstLine="560" w:firstLineChars="200"/>
        <w:rPr>
          <w:rFonts w:hint="default"/>
          <w:lang w:val="en-US" w:eastAsia="zh-CN"/>
        </w:rPr>
      </w:pPr>
      <w:r>
        <w:rPr>
          <w:rFonts w:hint="eastAsia"/>
          <w:lang w:val="en-US" w:eastAsia="zh-CN"/>
        </w:rPr>
        <w:t>《室外排水设计标准</w:t>
      </w:r>
      <w:r>
        <w:rPr>
          <w:rFonts w:hint="eastAsia"/>
          <w:lang w:val="en-US" w:eastAsia="zh-CN"/>
        </w:rPr>
        <w:tab/>
      </w:r>
      <w:r>
        <w:rPr>
          <w:rFonts w:hint="eastAsia"/>
          <w:lang w:val="en-US" w:eastAsia="zh-CN"/>
        </w:rPr>
        <w:t>》（GB 50014-2021 ）</w:t>
      </w:r>
    </w:p>
    <w:p>
      <w:pPr>
        <w:bidi w:val="0"/>
        <w:ind w:firstLine="560" w:firstLineChars="200"/>
        <w:rPr>
          <w:rFonts w:hint="default"/>
          <w:lang w:val="en-US" w:eastAsia="zh-CN"/>
        </w:rPr>
      </w:pPr>
      <w:r>
        <w:rPr>
          <w:rFonts w:hint="eastAsia"/>
          <w:lang w:val="en-US" w:eastAsia="zh-CN"/>
        </w:rPr>
        <w:t>《给水排水工程构筑物结构设计规范最新版》（GB50069-2002）</w:t>
      </w:r>
    </w:p>
    <w:p>
      <w:pPr>
        <w:pStyle w:val="4"/>
        <w:rPr>
          <w:rFonts w:hint="eastAsia"/>
          <w:lang w:val="en-US" w:eastAsia="zh-CN"/>
        </w:rPr>
      </w:pPr>
    </w:p>
    <w:p>
      <w:pPr>
        <w:rPr>
          <w:rFonts w:hint="eastAsia"/>
          <w:lang w:val="en-US" w:eastAsia="zh-CN"/>
        </w:rPr>
      </w:pPr>
    </w:p>
    <w:bookmarkEnd w:id="64"/>
    <w:bookmarkEnd w:id="65"/>
    <w:bookmarkEnd w:id="66"/>
    <w:p>
      <w:pPr>
        <w:pStyle w:val="3"/>
        <w:bidi w:val="0"/>
        <w:jc w:val="center"/>
        <w:rPr>
          <w:rFonts w:hint="eastAsia"/>
        </w:rPr>
      </w:pPr>
      <w:bookmarkStart w:id="67" w:name="_Toc8922_WPSOffice_Level1"/>
      <w:bookmarkStart w:id="68" w:name="_Toc15542"/>
      <w:bookmarkStart w:id="69" w:name="_Toc12036"/>
      <w:bookmarkStart w:id="70" w:name="_Toc29427"/>
      <w:r>
        <w:rPr>
          <w:rFonts w:hint="eastAsia"/>
        </w:rPr>
        <w:t>第二章  项目建设背景及必要性</w:t>
      </w:r>
      <w:bookmarkEnd w:id="67"/>
      <w:bookmarkEnd w:id="68"/>
      <w:bookmarkEnd w:id="69"/>
      <w:bookmarkEnd w:id="70"/>
    </w:p>
    <w:p>
      <w:pPr>
        <w:pStyle w:val="4"/>
        <w:bidi w:val="0"/>
        <w:rPr>
          <w:rFonts w:hint="eastAsia"/>
        </w:rPr>
      </w:pPr>
      <w:bookmarkStart w:id="71" w:name="_Toc5927"/>
      <w:bookmarkStart w:id="72" w:name="_Toc19502_WPSOffice_Level2"/>
      <w:bookmarkStart w:id="73" w:name="_Toc26875"/>
      <w:bookmarkStart w:id="74" w:name="_Toc12006"/>
      <w:r>
        <w:rPr>
          <w:rFonts w:hint="eastAsia"/>
        </w:rPr>
        <w:t>2.1项目建设背景</w:t>
      </w:r>
      <w:bookmarkEnd w:id="71"/>
      <w:bookmarkEnd w:id="72"/>
      <w:bookmarkEnd w:id="73"/>
      <w:bookmarkEnd w:id="74"/>
    </w:p>
    <w:p>
      <w:pPr>
        <w:pStyle w:val="6"/>
        <w:spacing w:before="4" w:line="333" w:lineRule="auto"/>
        <w:ind w:left="100" w:right="395" w:firstLine="559"/>
        <w:jc w:val="both"/>
        <w:rPr>
          <w:rFonts w:hint="eastAsia" w:ascii="宋体" w:hAnsi="宋体" w:eastAsia="宋体" w:cs="宋体"/>
          <w:kern w:val="2"/>
          <w:sz w:val="28"/>
          <w:szCs w:val="22"/>
          <w:lang w:val="en-US" w:eastAsia="zh-CN" w:bidi="ar-SA"/>
        </w:rPr>
      </w:pPr>
      <w:bookmarkStart w:id="75" w:name="_Toc25596"/>
      <w:bookmarkStart w:id="76" w:name="_Toc23506"/>
      <w:bookmarkStart w:id="77" w:name="_Toc25877_WPSOffice_Level2"/>
      <w:bookmarkStart w:id="78" w:name="_Toc25077"/>
      <w:r>
        <w:rPr>
          <w:rFonts w:hint="eastAsia" w:ascii="宋体" w:hAnsi="宋体" w:eastAsia="宋体" w:cs="宋体"/>
          <w:kern w:val="2"/>
          <w:sz w:val="28"/>
          <w:szCs w:val="22"/>
          <w:lang w:val="en-US" w:eastAsia="zh-CN" w:bidi="ar-SA"/>
        </w:rPr>
        <w:t>现阶段，脱贫攻坚已取得全面胜利，乡村振兴战略接续推进。而当前在刚刚脱贫的山区农村，农村基础设施仍然薄弱，抵御自然风险能力还亟待加强，2020 年村建制调整以来，部分村组合并导致基础设施建设短板突显。要破解这个难题，就得优先解决基础设施配套问题，补齐农业发展短板，改善农村发展环境，调动群众发展积极性。实施以工代赈项目是践行“两个维护”的高度体现。通过项目实施，不断完善项目区内不均衡的基础设施和配套设施建设，突出产业发展重点，增强基层组织的凝聚力和号召力，促进村民之间不断融合，切实将“两项改革”成果转化为治理实效和发展红利。通过项目实施，将持续夯实项目村的产业发展的基础，让农民实现家门口就业增收，既能提高生产力水平，又能降低劳动成本，进一步增强了该项目区的特色产业的市场竞争力。从而全面助推项目村的乡村振兴。</w:t>
      </w:r>
    </w:p>
    <w:p>
      <w:pPr>
        <w:pStyle w:val="6"/>
        <w:spacing w:before="4" w:line="333" w:lineRule="auto"/>
        <w:ind w:left="100" w:right="395" w:firstLine="559"/>
        <w:jc w:val="both"/>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紧紧抓住国家为扩大内需进一步加大资金投入助力乡村振兴的历史机遇，着力完善</w:t>
      </w:r>
      <w:r>
        <w:rPr>
          <w:rFonts w:hint="eastAsia" w:ascii="宋体" w:hAnsi="宋体" w:cs="宋体"/>
          <w:kern w:val="2"/>
          <w:sz w:val="28"/>
          <w:szCs w:val="22"/>
          <w:lang w:val="en-US" w:eastAsia="zh-CN" w:bidi="ar-SA"/>
        </w:rPr>
        <w:t>阿不都拉乡村水磨村</w:t>
      </w:r>
      <w:r>
        <w:rPr>
          <w:rFonts w:hint="eastAsia" w:ascii="宋体" w:hAnsi="宋体" w:eastAsia="宋体" w:cs="宋体"/>
          <w:kern w:val="2"/>
          <w:sz w:val="28"/>
          <w:szCs w:val="22"/>
          <w:lang w:val="en-US" w:eastAsia="zh-CN" w:bidi="ar-SA"/>
        </w:rPr>
        <w:t>基础设施建设，通过基础设施建设推动乡村特色产业提质增效，加快农业农村现代化建设。通过加大对</w:t>
      </w:r>
      <w:r>
        <w:rPr>
          <w:rFonts w:hint="eastAsia" w:ascii="宋体" w:hAnsi="宋体" w:cs="宋体"/>
          <w:kern w:val="2"/>
          <w:sz w:val="28"/>
          <w:szCs w:val="22"/>
          <w:lang w:val="en-US" w:eastAsia="zh-CN" w:bidi="ar-SA"/>
        </w:rPr>
        <w:t>阿不都拉乡村水磨村</w:t>
      </w:r>
      <w:r>
        <w:rPr>
          <w:rFonts w:hint="eastAsia" w:ascii="宋体" w:hAnsi="宋体" w:eastAsia="宋体" w:cs="宋体"/>
          <w:kern w:val="2"/>
          <w:sz w:val="28"/>
          <w:szCs w:val="22"/>
          <w:lang w:val="en-US" w:eastAsia="zh-CN" w:bidi="ar-SA"/>
        </w:rPr>
        <w:t xml:space="preserve">的基础设施投入，从而改善该村群众的生产生活条件。 </w:t>
      </w:r>
    </w:p>
    <w:p>
      <w:pPr>
        <w:pStyle w:val="4"/>
        <w:bidi w:val="0"/>
        <w:rPr>
          <w:rFonts w:hint="eastAsia"/>
          <w:lang w:eastAsia="zh-CN"/>
        </w:rPr>
      </w:pPr>
      <w:bookmarkStart w:id="79" w:name="_Toc26466"/>
      <w:bookmarkStart w:id="80" w:name="_Toc2238"/>
      <w:r>
        <w:rPr>
          <w:rFonts w:hint="eastAsia"/>
        </w:rPr>
        <w:t>2.</w:t>
      </w:r>
      <w:bookmarkEnd w:id="75"/>
      <w:bookmarkEnd w:id="76"/>
      <w:r>
        <w:rPr>
          <w:rFonts w:hint="eastAsia"/>
          <w:lang w:val="en-US" w:eastAsia="zh-CN"/>
        </w:rPr>
        <w:t>2</w:t>
      </w:r>
      <w:r>
        <w:rPr>
          <w:rFonts w:hint="eastAsia"/>
          <w:lang w:eastAsia="zh-CN"/>
        </w:rPr>
        <w:t>规划政策符合性</w:t>
      </w:r>
      <w:bookmarkEnd w:id="77"/>
      <w:bookmarkEnd w:id="79"/>
      <w:bookmarkEnd w:id="80"/>
    </w:p>
    <w:p>
      <w:pPr>
        <w:pStyle w:val="6"/>
        <w:spacing w:before="4" w:line="333" w:lineRule="auto"/>
        <w:ind w:left="100" w:right="395" w:firstLine="559"/>
        <w:jc w:val="both"/>
        <w:rPr>
          <w:rFonts w:hint="default" w:eastAsia="宋体" w:asciiTheme="minorAscii" w:hAnsiTheme="minorAscii" w:cstheme="minorBidi"/>
          <w:kern w:val="2"/>
          <w:sz w:val="28"/>
          <w:szCs w:val="28"/>
          <w:lang w:val="en-US" w:eastAsia="zh-CN" w:bidi="ar-SA"/>
        </w:rPr>
      </w:pPr>
      <w:r>
        <w:rPr>
          <w:rFonts w:hint="eastAsia" w:eastAsia="宋体" w:asciiTheme="minorAscii" w:hAnsiTheme="minorAscii" w:cstheme="minorBidi"/>
          <w:kern w:val="2"/>
          <w:sz w:val="28"/>
          <w:szCs w:val="28"/>
          <w:lang w:val="en-US" w:eastAsia="zh-CN" w:bidi="ar-SA"/>
        </w:rPr>
        <w:t>深入贯彻落实习近平总书记关于扶贫工作的重要论述和党的十九届五中、六中全会精神，主动顺应应对疫情冲击影响、巩固脱贫攻坚成果与推动乡村全面振兴的新形势、新任务、新要求，围绕</w:t>
      </w:r>
      <w:r>
        <w:rPr>
          <w:rFonts w:hint="eastAsia" w:ascii="宋体" w:hAnsi="宋体" w:cs="宋体"/>
          <w:kern w:val="2"/>
          <w:sz w:val="28"/>
          <w:szCs w:val="22"/>
          <w:lang w:val="en-US" w:eastAsia="zh-CN" w:bidi="ar-SA"/>
        </w:rPr>
        <w:t>阿不都拉乡村水磨村</w:t>
      </w:r>
      <w:r>
        <w:rPr>
          <w:rFonts w:hint="eastAsia" w:eastAsia="宋体" w:asciiTheme="minorAscii" w:hAnsiTheme="minorAscii" w:cstheme="minorBidi"/>
          <w:kern w:val="2"/>
          <w:sz w:val="28"/>
          <w:szCs w:val="28"/>
          <w:lang w:val="en-US" w:eastAsia="zh-CN" w:bidi="ar-SA"/>
        </w:rPr>
        <w:t>农村公益性基础设施发展，进一步聚焦、对接巩固拓展脱贫攻坚成果、补上“三农”领域短板，在经济、社会、生态等多方面发挥资金“一钱多用”的功能，以农村中小型公益性基础设施和农村产业发展配套基础设施为重点建设领域，以改善生产生活条件、开展巩固脱贫攻坚成果衔接乡村振兴战略试点，着力探索更好发挥乡村发展作用新模式、新路径，进一步拓宽发展方式，实现精准扶持和利益共享，全面推进乡村振兴。</w:t>
      </w:r>
    </w:p>
    <w:p>
      <w:pPr>
        <w:pStyle w:val="4"/>
        <w:bidi w:val="0"/>
        <w:rPr>
          <w:rFonts w:hint="eastAsia"/>
        </w:rPr>
      </w:pPr>
      <w:bookmarkStart w:id="81" w:name="_Toc23608"/>
      <w:bookmarkStart w:id="82" w:name="_Toc27493_WPSOffice_Level2"/>
      <w:bookmarkStart w:id="83" w:name="_Toc7663"/>
      <w:r>
        <w:rPr>
          <w:rFonts w:hint="eastAsia"/>
        </w:rPr>
        <w:t>2.</w:t>
      </w:r>
      <w:r>
        <w:rPr>
          <w:rFonts w:hint="eastAsia"/>
          <w:lang w:val="en-US" w:eastAsia="zh-CN"/>
        </w:rPr>
        <w:t>3</w:t>
      </w:r>
      <w:r>
        <w:rPr>
          <w:rFonts w:hint="eastAsia"/>
        </w:rPr>
        <w:t>项目建设必要性</w:t>
      </w:r>
      <w:bookmarkEnd w:id="78"/>
      <w:bookmarkEnd w:id="81"/>
      <w:bookmarkEnd w:id="82"/>
      <w:bookmarkEnd w:id="83"/>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cs="宋体"/>
          <w:color w:val="000000" w:themeColor="text1"/>
          <w:lang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农村</w:t>
      </w:r>
      <w:r>
        <w:rPr>
          <w:rFonts w:hint="eastAsia" w:ascii="宋体" w:hAnsi="宋体" w:cs="宋体"/>
          <w:color w:val="000000" w:themeColor="text1"/>
          <w:lang w:eastAsia="zh-CN"/>
          <w14:textFill>
            <w14:solidFill>
              <w14:schemeClr w14:val="tx1"/>
            </w14:solidFill>
          </w14:textFill>
        </w:rPr>
        <w:t>排水工程是</w:t>
      </w:r>
      <w:r>
        <w:rPr>
          <w:rFonts w:hint="eastAsia" w:ascii="宋体" w:hAnsi="宋体" w:cs="宋体"/>
          <w:color w:val="000000" w:themeColor="text1"/>
          <w:lang w:val="en-US" w:eastAsia="zh-CN"/>
          <w14:textFill>
            <w14:solidFill>
              <w14:schemeClr w14:val="tx1"/>
            </w14:solidFill>
          </w14:textFill>
        </w:rPr>
        <w:t>农村</w:t>
      </w:r>
      <w:r>
        <w:rPr>
          <w:rFonts w:hint="eastAsia" w:ascii="宋体" w:hAnsi="宋体" w:cs="宋体"/>
          <w:color w:val="000000" w:themeColor="text1"/>
          <w:lang w:eastAsia="zh-CN"/>
          <w14:textFill>
            <w14:solidFill>
              <w14:schemeClr w14:val="tx1"/>
            </w14:solidFill>
          </w14:textFill>
        </w:rPr>
        <w:t>基础设施的必要组成部分，直接影响到</w:t>
      </w:r>
      <w:r>
        <w:rPr>
          <w:rFonts w:hint="eastAsia" w:ascii="宋体" w:hAnsi="宋体" w:cs="宋体"/>
          <w:color w:val="000000" w:themeColor="text1"/>
          <w:lang w:val="en-US" w:eastAsia="zh-CN"/>
          <w14:textFill>
            <w14:solidFill>
              <w14:schemeClr w14:val="tx1"/>
            </w14:solidFill>
          </w14:textFill>
        </w:rPr>
        <w:t>农村</w:t>
      </w:r>
      <w:r>
        <w:rPr>
          <w:rFonts w:hint="eastAsia" w:ascii="宋体" w:hAnsi="宋体" w:cs="宋体"/>
          <w:color w:val="000000" w:themeColor="text1"/>
          <w:lang w:eastAsia="zh-CN"/>
          <w14:textFill>
            <w14:solidFill>
              <w14:schemeClr w14:val="tx1"/>
            </w14:solidFill>
          </w14:textFill>
        </w:rPr>
        <w:t>各种功能的发挥。排水系统和人民的生活、工作、工农业生产息息相关。</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cs="宋体"/>
          <w:color w:val="000000" w:themeColor="text1"/>
          <w:lang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农村</w:t>
      </w:r>
      <w:r>
        <w:rPr>
          <w:rFonts w:hint="eastAsia" w:ascii="宋体" w:hAnsi="宋体" w:cs="宋体"/>
          <w:color w:val="000000" w:themeColor="text1"/>
          <w:lang w:eastAsia="zh-CN"/>
          <w14:textFill>
            <w14:solidFill>
              <w14:schemeClr w14:val="tx1"/>
            </w14:solidFill>
          </w14:textFill>
        </w:rPr>
        <w:t>的环境保护也是</w:t>
      </w:r>
      <w:r>
        <w:rPr>
          <w:rFonts w:hint="eastAsia" w:ascii="宋体" w:hAnsi="宋体" w:cs="宋体"/>
          <w:color w:val="000000" w:themeColor="text1"/>
          <w:lang w:val="en-US" w:eastAsia="zh-CN"/>
          <w14:textFill>
            <w14:solidFill>
              <w14:schemeClr w14:val="tx1"/>
            </w14:solidFill>
          </w14:textFill>
        </w:rPr>
        <w:t>农村</w:t>
      </w:r>
      <w:r>
        <w:rPr>
          <w:rFonts w:hint="eastAsia" w:ascii="宋体" w:hAnsi="宋体" w:cs="宋体"/>
          <w:color w:val="000000" w:themeColor="text1"/>
          <w:lang w:eastAsia="zh-CN"/>
          <w14:textFill>
            <w14:solidFill>
              <w14:schemeClr w14:val="tx1"/>
            </w14:solidFill>
          </w14:textFill>
        </w:rPr>
        <w:t>发展不可或缺的重要之一。</w:t>
      </w:r>
      <w:r>
        <w:rPr>
          <w:rFonts w:hint="eastAsia" w:ascii="宋体" w:hAnsi="宋体" w:cs="宋体"/>
          <w:color w:val="000000" w:themeColor="text1"/>
          <w:lang w:val="en-US" w:eastAsia="zh-CN"/>
          <w14:textFill>
            <w14:solidFill>
              <w14:schemeClr w14:val="tx1"/>
            </w14:solidFill>
          </w14:textFill>
        </w:rPr>
        <w:t>农村</w:t>
      </w:r>
      <w:r>
        <w:rPr>
          <w:rFonts w:hint="eastAsia" w:ascii="宋体" w:hAnsi="宋体" w:cs="宋体"/>
          <w:color w:val="000000" w:themeColor="text1"/>
          <w:lang w:eastAsia="zh-CN"/>
          <w14:textFill>
            <w14:solidFill>
              <w14:schemeClr w14:val="tx1"/>
            </w14:solidFill>
          </w14:textFill>
        </w:rPr>
        <w:t>环境不但是经济发展的基础，也是生活水平高低的标志。环境质量应与当地经济发展和小康生活水平相适应。</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cs="宋体"/>
          <w:color w:val="000000" w:themeColor="text1"/>
          <w:lang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水环境保护是城市环境保护的重要组成部分。此次项目实施后，</w:t>
      </w:r>
      <w:r>
        <w:rPr>
          <w:rFonts w:hint="eastAsia" w:ascii="宋体" w:hAnsi="宋体" w:cs="宋体"/>
          <w:color w:val="000000" w:themeColor="text1"/>
          <w:lang w:val="en-US" w:eastAsia="zh-CN"/>
          <w14:textFill>
            <w14:solidFill>
              <w14:schemeClr w14:val="tx1"/>
            </w14:solidFill>
          </w14:textFill>
        </w:rPr>
        <w:t>农村</w:t>
      </w:r>
      <w:r>
        <w:rPr>
          <w:rFonts w:hint="eastAsia" w:ascii="宋体" w:hAnsi="宋体" w:cs="宋体"/>
          <w:color w:val="000000" w:themeColor="text1"/>
          <w:lang w:eastAsia="zh-CN"/>
          <w14:textFill>
            <w14:solidFill>
              <w14:schemeClr w14:val="tx1"/>
            </w14:solidFill>
          </w14:textFill>
        </w:rPr>
        <w:t>废水集中处理排放，大大减少对</w:t>
      </w:r>
      <w:r>
        <w:rPr>
          <w:rFonts w:hint="eastAsia" w:ascii="宋体" w:hAnsi="宋体" w:cs="宋体"/>
          <w:color w:val="000000" w:themeColor="text1"/>
          <w:lang w:val="en-US" w:eastAsia="zh-CN"/>
          <w14:textFill>
            <w14:solidFill>
              <w14:schemeClr w14:val="tx1"/>
            </w14:solidFill>
          </w14:textFill>
        </w:rPr>
        <w:t>农村</w:t>
      </w:r>
      <w:r>
        <w:rPr>
          <w:rFonts w:hint="eastAsia" w:ascii="宋体" w:hAnsi="宋体" w:cs="宋体"/>
          <w:color w:val="000000" w:themeColor="text1"/>
          <w:lang w:eastAsia="zh-CN"/>
          <w14:textFill>
            <w14:solidFill>
              <w14:schemeClr w14:val="tx1"/>
            </w14:solidFill>
          </w14:textFill>
        </w:rPr>
        <w:t>的环境污染，有利于</w:t>
      </w:r>
      <w:r>
        <w:rPr>
          <w:rFonts w:hint="eastAsia" w:ascii="宋体" w:hAnsi="宋体" w:cs="宋体"/>
          <w:color w:val="000000" w:themeColor="text1"/>
          <w:lang w:val="en-US" w:eastAsia="zh-CN"/>
          <w14:textFill>
            <w14:solidFill>
              <w14:schemeClr w14:val="tx1"/>
            </w14:solidFill>
          </w14:textFill>
        </w:rPr>
        <w:t>农村</w:t>
      </w:r>
      <w:r>
        <w:rPr>
          <w:rFonts w:hint="eastAsia" w:ascii="宋体" w:hAnsi="宋体" w:cs="宋体"/>
          <w:color w:val="000000" w:themeColor="text1"/>
          <w:lang w:eastAsia="zh-CN"/>
          <w14:textFill>
            <w14:solidFill>
              <w14:schemeClr w14:val="tx1"/>
            </w14:solidFill>
          </w14:textFill>
        </w:rPr>
        <w:t>环境保护目标的实现。随着人口规模、用地规模的不断增长以及工业的发展，</w:t>
      </w:r>
      <w:r>
        <w:rPr>
          <w:rFonts w:hint="eastAsia" w:ascii="宋体" w:hAnsi="宋体" w:cs="宋体"/>
          <w:color w:val="000000" w:themeColor="text1"/>
          <w:lang w:val="en-US" w:eastAsia="zh-CN"/>
          <w14:textFill>
            <w14:solidFill>
              <w14:schemeClr w14:val="tx1"/>
            </w14:solidFill>
          </w14:textFill>
        </w:rPr>
        <w:t>农村</w:t>
      </w:r>
      <w:r>
        <w:rPr>
          <w:rFonts w:hint="eastAsia" w:ascii="宋体" w:hAnsi="宋体" w:cs="宋体"/>
          <w:color w:val="000000" w:themeColor="text1"/>
          <w:lang w:eastAsia="zh-CN"/>
          <w14:textFill>
            <w14:solidFill>
              <w14:schemeClr w14:val="tx1"/>
            </w14:solidFill>
          </w14:textFill>
        </w:rPr>
        <w:t>的排水量日益增大，因此，加快建设</w:t>
      </w:r>
      <w:r>
        <w:rPr>
          <w:rFonts w:hint="eastAsia" w:ascii="宋体" w:hAnsi="宋体" w:cs="宋体"/>
          <w:color w:val="000000" w:themeColor="text1"/>
          <w:lang w:val="en-US" w:eastAsia="zh-CN"/>
          <w14:textFill>
            <w14:solidFill>
              <w14:schemeClr w14:val="tx1"/>
            </w14:solidFill>
          </w14:textFill>
        </w:rPr>
        <w:t>农村</w:t>
      </w:r>
      <w:r>
        <w:rPr>
          <w:rFonts w:hint="eastAsia" w:ascii="宋体" w:hAnsi="宋体" w:cs="宋体"/>
          <w:color w:val="000000" w:themeColor="text1"/>
          <w:lang w:eastAsia="zh-CN"/>
          <w14:textFill>
            <w14:solidFill>
              <w14:schemeClr w14:val="tx1"/>
            </w14:solidFill>
          </w14:textFill>
        </w:rPr>
        <w:t>的污水排放、处理系统工程，对于实现可持续发展，提高区域环境质量，改善</w:t>
      </w:r>
      <w:r>
        <w:rPr>
          <w:rFonts w:hint="eastAsia" w:ascii="宋体" w:hAnsi="宋体" w:cs="宋体"/>
          <w:color w:val="000000" w:themeColor="text1"/>
          <w:lang w:val="en-US" w:eastAsia="zh-CN"/>
          <w14:textFill>
            <w14:solidFill>
              <w14:schemeClr w14:val="tx1"/>
            </w14:solidFill>
          </w14:textFill>
        </w:rPr>
        <w:t>农村</w:t>
      </w:r>
      <w:r>
        <w:rPr>
          <w:rFonts w:hint="eastAsia" w:ascii="宋体" w:hAnsi="宋体" w:cs="宋体"/>
          <w:color w:val="000000" w:themeColor="text1"/>
          <w:lang w:eastAsia="zh-CN"/>
          <w14:textFill>
            <w14:solidFill>
              <w14:schemeClr w14:val="tx1"/>
            </w14:solidFill>
          </w14:textFill>
        </w:rPr>
        <w:t>水系的水质，促进生态建设和社会经济的发展，具有重要意义。项目建设符合《</w:t>
      </w:r>
      <w:r>
        <w:rPr>
          <w:rFonts w:hint="eastAsia" w:ascii="宋体" w:hAnsi="宋体" w:cs="宋体"/>
          <w:color w:val="000000" w:themeColor="text1"/>
          <w:lang w:val="en-US" w:eastAsia="zh-CN"/>
          <w14:textFill>
            <w14:solidFill>
              <w14:schemeClr w14:val="tx1"/>
            </w14:solidFill>
          </w14:textFill>
        </w:rPr>
        <w:t>塔城市</w:t>
      </w:r>
      <w:r>
        <w:rPr>
          <w:rFonts w:hint="eastAsia" w:ascii="宋体" w:hAnsi="宋体" w:cs="宋体"/>
          <w:color w:val="000000" w:themeColor="text1"/>
          <w:lang w:eastAsia="zh-CN"/>
          <w14:textFill>
            <w14:solidFill>
              <w14:schemeClr w14:val="tx1"/>
            </w14:solidFill>
          </w14:textFill>
        </w:rPr>
        <w:t>总体规划》，必须尽快建设和完善</w:t>
      </w:r>
      <w:r>
        <w:rPr>
          <w:rFonts w:hint="eastAsia" w:ascii="宋体" w:hAnsi="宋体" w:cs="宋体"/>
          <w:color w:val="000000" w:themeColor="text1"/>
          <w:lang w:val="en-US" w:eastAsia="zh-CN"/>
          <w14:textFill>
            <w14:solidFill>
              <w14:schemeClr w14:val="tx1"/>
            </w14:solidFill>
          </w14:textFill>
        </w:rPr>
        <w:t>农村</w:t>
      </w:r>
      <w:r>
        <w:rPr>
          <w:rFonts w:hint="eastAsia" w:ascii="宋体" w:hAnsi="宋体" w:cs="宋体"/>
          <w:color w:val="000000" w:themeColor="text1"/>
          <w:lang w:eastAsia="zh-CN"/>
          <w14:textFill>
            <w14:solidFill>
              <w14:schemeClr w14:val="tx1"/>
            </w14:solidFill>
          </w14:textFill>
        </w:rPr>
        <w:t>的排水管网，建设</w:t>
      </w:r>
      <w:r>
        <w:rPr>
          <w:rFonts w:hint="eastAsia" w:ascii="宋体" w:hAnsi="宋体" w:cs="宋体"/>
          <w:color w:val="000000" w:themeColor="text1"/>
          <w:lang w:val="en-US" w:eastAsia="zh-CN"/>
          <w14:textFill>
            <w14:solidFill>
              <w14:schemeClr w14:val="tx1"/>
            </w14:solidFill>
          </w14:textFill>
        </w:rPr>
        <w:t>农村</w:t>
      </w:r>
      <w:r>
        <w:rPr>
          <w:rFonts w:hint="eastAsia" w:ascii="宋体" w:hAnsi="宋体" w:cs="宋体"/>
          <w:color w:val="000000" w:themeColor="text1"/>
          <w:lang w:eastAsia="zh-CN"/>
          <w14:textFill>
            <w14:solidFill>
              <w14:schemeClr w14:val="tx1"/>
            </w14:solidFill>
          </w14:textFill>
        </w:rPr>
        <w:t>污水处理工程。</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cs="宋体"/>
          <w:color w:val="000000" w:themeColor="text1"/>
          <w:lang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综上所述，本项目实施是</w:t>
      </w:r>
      <w:r>
        <w:rPr>
          <w:rFonts w:hint="eastAsia" w:ascii="宋体" w:hAnsi="宋体" w:cs="宋体"/>
          <w:color w:val="000000" w:themeColor="text1"/>
          <w:lang w:val="en-US" w:eastAsia="zh-CN"/>
          <w14:textFill>
            <w14:solidFill>
              <w14:schemeClr w14:val="tx1"/>
            </w14:solidFill>
          </w14:textFill>
        </w:rPr>
        <w:t>水磨村</w:t>
      </w:r>
      <w:r>
        <w:rPr>
          <w:rFonts w:hint="eastAsia" w:ascii="宋体" w:hAnsi="宋体" w:cs="宋体"/>
          <w:color w:val="000000" w:themeColor="text1"/>
          <w:lang w:eastAsia="zh-CN"/>
          <w14:textFill>
            <w14:solidFill>
              <w14:schemeClr w14:val="tx1"/>
            </w14:solidFill>
          </w14:textFill>
        </w:rPr>
        <w:t>环境保护规划实施的重要组成部分，是实现水污染控制和保证水环境质量的有效手段，是改善</w:t>
      </w:r>
      <w:r>
        <w:rPr>
          <w:rFonts w:hint="eastAsia" w:ascii="宋体" w:hAnsi="宋体" w:cs="宋体"/>
          <w:color w:val="000000" w:themeColor="text1"/>
          <w:lang w:val="en-US" w:eastAsia="zh-CN"/>
          <w14:textFill>
            <w14:solidFill>
              <w14:schemeClr w14:val="tx1"/>
            </w14:solidFill>
          </w14:textFill>
        </w:rPr>
        <w:t>农村</w:t>
      </w:r>
      <w:r>
        <w:rPr>
          <w:rFonts w:hint="eastAsia" w:ascii="宋体" w:hAnsi="宋体" w:cs="宋体"/>
          <w:color w:val="000000" w:themeColor="text1"/>
          <w:lang w:eastAsia="zh-CN"/>
          <w14:textFill>
            <w14:solidFill>
              <w14:schemeClr w14:val="tx1"/>
            </w14:solidFill>
          </w14:textFill>
        </w:rPr>
        <w:t>基础设施的重要途径之一。因此，本项目在</w:t>
      </w:r>
      <w:r>
        <w:rPr>
          <w:rFonts w:hint="eastAsia" w:ascii="宋体" w:hAnsi="宋体" w:cs="宋体"/>
          <w:color w:val="000000" w:themeColor="text1"/>
          <w:lang w:val="en-US" w:eastAsia="zh-CN"/>
          <w14:textFill>
            <w14:solidFill>
              <w14:schemeClr w14:val="tx1"/>
            </w14:solidFill>
          </w14:textFill>
        </w:rPr>
        <w:t>水磨村</w:t>
      </w:r>
      <w:r>
        <w:rPr>
          <w:rFonts w:hint="eastAsia" w:ascii="宋体" w:hAnsi="宋体" w:cs="宋体"/>
          <w:color w:val="000000" w:themeColor="text1"/>
          <w:lang w:eastAsia="zh-CN"/>
          <w14:textFill>
            <w14:solidFill>
              <w14:schemeClr w14:val="tx1"/>
            </w14:solidFill>
          </w14:textFill>
        </w:rPr>
        <w:t>建设中的地位是十分重要的。</w:t>
      </w:r>
      <w:bookmarkStart w:id="84" w:name="_Toc14046_WPSOffice_Level1"/>
    </w:p>
    <w:p>
      <w:pPr>
        <w:pStyle w:val="3"/>
        <w:bidi w:val="0"/>
        <w:jc w:val="center"/>
        <w:rPr>
          <w:rFonts w:hint="default"/>
          <w:lang w:val="en-US" w:eastAsia="zh-CN"/>
        </w:rPr>
      </w:pPr>
      <w:bookmarkStart w:id="85" w:name="_Toc3784"/>
      <w:bookmarkStart w:id="86" w:name="_Toc6756"/>
      <w:r>
        <w:rPr>
          <w:rFonts w:hint="eastAsia"/>
          <w:lang w:eastAsia="zh-CN"/>
        </w:rPr>
        <w:t>第三章</w:t>
      </w:r>
      <w:r>
        <w:rPr>
          <w:rFonts w:hint="eastAsia"/>
          <w:lang w:val="en-US" w:eastAsia="zh-CN"/>
        </w:rPr>
        <w:t xml:space="preserve"> </w:t>
      </w:r>
      <w:bookmarkEnd w:id="84"/>
      <w:bookmarkEnd w:id="85"/>
      <w:r>
        <w:rPr>
          <w:rFonts w:hint="eastAsia"/>
          <w:lang w:val="en-US" w:eastAsia="zh-CN"/>
        </w:rPr>
        <w:t>基础资料</w:t>
      </w:r>
      <w:bookmarkEnd w:id="86"/>
    </w:p>
    <w:p>
      <w:pPr>
        <w:pStyle w:val="4"/>
        <w:bidi w:val="0"/>
        <w:rPr>
          <w:rFonts w:hint="default"/>
          <w:lang w:val="en-US" w:eastAsia="zh-CN"/>
        </w:rPr>
      </w:pPr>
      <w:bookmarkStart w:id="87" w:name="_Toc389182850"/>
      <w:bookmarkStart w:id="88" w:name="_Toc15250"/>
      <w:bookmarkStart w:id="89" w:name="_Toc476918210"/>
      <w:bookmarkStart w:id="90" w:name="_Toc16403"/>
      <w:bookmarkStart w:id="91" w:name="_Toc413756235"/>
      <w:bookmarkStart w:id="92" w:name="_Toc25752"/>
      <w:bookmarkStart w:id="93" w:name="_Toc28058_WPSOffice_Level2"/>
      <w:r>
        <w:rPr>
          <w:rFonts w:hint="eastAsia"/>
          <w:lang w:val="en-US" w:eastAsia="zh-CN"/>
        </w:rPr>
        <w:t>3.1</w:t>
      </w:r>
      <w:bookmarkEnd w:id="87"/>
      <w:bookmarkEnd w:id="88"/>
      <w:bookmarkEnd w:id="89"/>
      <w:bookmarkEnd w:id="90"/>
      <w:bookmarkEnd w:id="91"/>
      <w:r>
        <w:rPr>
          <w:rFonts w:hint="eastAsia"/>
          <w:lang w:val="en-US" w:eastAsia="zh-CN"/>
        </w:rPr>
        <w:t>地理位置</w:t>
      </w:r>
      <w:bookmarkEnd w:id="92"/>
    </w:p>
    <w:bookmarkEnd w:id="93"/>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bookmarkStart w:id="94" w:name="_Toc23686"/>
      <w:r>
        <w:rPr>
          <w:rFonts w:hint="eastAsia" w:ascii="宋体" w:hAnsi="宋体" w:eastAsia="宋体" w:cs="宋体"/>
          <w:kern w:val="2"/>
          <w:sz w:val="28"/>
          <w:szCs w:val="22"/>
          <w:lang w:val="en-US" w:eastAsia="zh-CN" w:bidi="ar-SA"/>
        </w:rPr>
        <w:t>水磨村位于阿不都拉乡西北方向，距离塔城市32公里处，全村户籍人口203户605人，少数民族占比41%（主要为达斡尔、回族、东乡族），常住户98户198人。耕地面积9905.33亩、人均耕地11.5亩，草场面积0亩，主要种植作物小麦、玉米、食葵。，G219 线横贯乡域全境，是一个以农为主，农牧结合，二、三产业协调发展的农业大乡。</w:t>
      </w:r>
    </w:p>
    <w:p>
      <w:pPr>
        <w:pStyle w:val="4"/>
        <w:bidi w:val="0"/>
        <w:rPr>
          <w:rFonts w:hint="eastAsia"/>
          <w:lang w:val="en-US" w:eastAsia="zh-CN"/>
        </w:rPr>
      </w:pPr>
      <w:bookmarkStart w:id="95" w:name="_bookmark15"/>
      <w:bookmarkEnd w:id="95"/>
      <w:bookmarkStart w:id="96" w:name="_Toc11311"/>
      <w:r>
        <w:rPr>
          <w:rFonts w:hint="eastAsia"/>
          <w:lang w:val="en-US" w:eastAsia="zh-CN"/>
        </w:rPr>
        <w:t>3.2 自然概况</w:t>
      </w:r>
      <w:bookmarkEnd w:id="96"/>
    </w:p>
    <w:p>
      <w:pPr>
        <w:bidi w:val="0"/>
        <w:rPr>
          <w:b/>
          <w:bCs/>
        </w:rPr>
      </w:pPr>
      <w:r>
        <w:rPr>
          <w:rFonts w:hint="eastAsia"/>
          <w:b/>
          <w:bCs/>
          <w:lang w:val="en-US" w:eastAsia="zh-CN"/>
        </w:rPr>
        <w:t>3</w:t>
      </w:r>
      <w:r>
        <w:rPr>
          <w:b/>
          <w:bCs/>
        </w:rPr>
        <w:t>.2.1流域概况</w:t>
      </w:r>
    </w:p>
    <w:p>
      <w:pPr>
        <w:spacing w:line="272" w:lineRule="auto"/>
        <w:rPr>
          <w:rFonts w:ascii="Arial"/>
          <w:sz w:val="21"/>
        </w:rPr>
      </w:pP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阿不都拉乡分布两大水系，主要为喀浪古尔河和阿不都拉河。</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 一) 喀浪古尔河</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喀浪古尔河发源于塔尔巴哈台山，是国际河流额敏河的一条较大支流，多年平均径流量 1.21× 108m³ 。该河道全长 93km ， 自北流向南，经阿不都拉乡、二工镇，在也克苏牧场与叶 尔盖提河汇合后注入额敏河，后流入哈萨克斯坦的阿拉湖。喀浪古尔河现有一座 3900 万 m³ 的中型水库，经流量可以充分利用。</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(二) 阿不都拉河</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阿不都拉河流域地势北高南低，由东北向西南倾斜，流域内最高点海拔高程为 2844m ， 最低点海拔高程为 400.8m ，北部山丘重叠，中部平原辽阔，南部地势低洼，按流域地貌特征 不同自北向南可分为中低山地、黄土丘陵、山前倾斜平原与河谷冲积平原四大地貌单元，而 项目区则包含黄土丘陵，山前倾斜平原与河谷冲积平原。</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阿不都拉河属额敏河水系，是额敏河的一条较大支流，该河发源于塔尔巴哈台山东段， 地势东北高，西南低，河流自东北流向西南，出山口后顺势南下，在塔城盆地腹地额敏河中 下游汇入额敏河，后流入哈萨克斯坦的阿拉湖。阿不都拉河发源于塔尔巴哈台山，该河道全 长 80km ，自北流向南，经阿不都拉乡、喀拉哈巴克乡、也门勒乡，在也门勒乡南部注入额敏 河，后流入哈萨克斯坦的阿拉湖。阿不都拉河是国际河流额敏河的一条较大支流，多年平均 径流量 1.018×108m³。</w:t>
      </w:r>
    </w:p>
    <w:p>
      <w:pPr>
        <w:bidi w:val="0"/>
        <w:rPr>
          <w:b/>
          <w:bCs/>
        </w:rPr>
      </w:pPr>
      <w:r>
        <w:rPr>
          <w:rFonts w:hint="eastAsia"/>
          <w:b/>
          <w:bCs/>
          <w:lang w:val="en-US" w:eastAsia="zh-CN"/>
        </w:rPr>
        <w:t>3</w:t>
      </w:r>
      <w:r>
        <w:rPr>
          <w:b/>
          <w:bCs/>
        </w:rPr>
        <w:t>.2.2气候特征</w:t>
      </w:r>
    </w:p>
    <w:p>
      <w:pPr>
        <w:spacing w:line="273" w:lineRule="auto"/>
        <w:rPr>
          <w:rFonts w:ascii="Arial"/>
          <w:sz w:val="21"/>
        </w:rPr>
      </w:pP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项目区属中温带大陆性半干旱、半荒漠草原气候，由于地处盆地地形状态下，形成了气 温较温和，在干旱地区相对降水量较大，蒸发量较小的气候特点，冬季漫长而寒冷，夏季短 促而炎热，山区热量不足，光照较少，平原区热量较丰富，光照充足；平原区受大风影响较 大，夏季炎热，冬季寒冷。</w:t>
      </w:r>
    </w:p>
    <w:p>
      <w:pPr>
        <w:pStyle w:val="4"/>
        <w:bidi w:val="0"/>
        <w:rPr>
          <w:rFonts w:hint="eastAsia"/>
          <w:lang w:val="en-US" w:eastAsia="zh-CN"/>
        </w:rPr>
      </w:pPr>
      <w:bookmarkStart w:id="97" w:name="_bookmark16"/>
      <w:bookmarkEnd w:id="97"/>
      <w:bookmarkStart w:id="98" w:name="_Toc29699"/>
      <w:r>
        <w:rPr>
          <w:rFonts w:hint="eastAsia"/>
          <w:lang w:val="en-US" w:eastAsia="zh-CN"/>
        </w:rPr>
        <w:t>3.3 气象及水文资料</w:t>
      </w:r>
      <w:bookmarkEnd w:id="98"/>
    </w:p>
    <w:p>
      <w:pPr>
        <w:bidi w:val="0"/>
        <w:rPr>
          <w:b/>
          <w:bCs/>
        </w:rPr>
      </w:pPr>
      <w:r>
        <w:rPr>
          <w:rFonts w:hint="eastAsia"/>
          <w:b/>
          <w:bCs/>
          <w:lang w:val="en-US" w:eastAsia="zh-CN"/>
        </w:rPr>
        <w:t>3</w:t>
      </w:r>
      <w:r>
        <w:rPr>
          <w:b/>
          <w:bCs/>
        </w:rPr>
        <w:t>.3.</w:t>
      </w:r>
      <w:r>
        <w:rPr>
          <w:rFonts w:hint="eastAsia"/>
          <w:b/>
          <w:bCs/>
          <w:lang w:val="en-US" w:eastAsia="zh-CN"/>
        </w:rPr>
        <w:t>1</w:t>
      </w:r>
      <w:r>
        <w:rPr>
          <w:b/>
          <w:bCs/>
        </w:rPr>
        <w:t>气象资料</w:t>
      </w:r>
    </w:p>
    <w:p>
      <w:pPr>
        <w:spacing w:line="271" w:lineRule="auto"/>
        <w:rPr>
          <w:rFonts w:ascii="Arial"/>
          <w:sz w:val="21"/>
        </w:rPr>
      </w:pP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 一) 气温</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根据卡琅古尔水文站的资料分析，多年平均气温 3.6℃，极端最低气温-40.5℃ (1974 年)， 极端最高气温35℃ (1974 年) ，气温年较差和日较差都较大。</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(二) 降水</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实测年最大降水量 738.5mm (1993 年) ，最小年降水量 264.2mm  (1974 年) ，降水自南 向北递增，随海拔高度的增加而增大，即高程每增高 100m, 降水量递增约 36mm。</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(三) 蒸发</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多年平均水面蒸发量为 993. 1mm，多年平均年降水量 289.6mm，一 日最大降水量 56.9mm (1966 年 6 月 8 日) 。</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(四) 日照</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据塔城市气象站资料显示，塔城多年平均年太阳辐射 136.7 千卡/cm2 ，年光合有效辐射 65.6 千卡/cm2 ，年日照时数 2950.4 小时， 日照百分率 66% ， ≥10℃的积温 2858. 1℃ ， ≥10℃ 的持续日数 150.3 天，无霜冻日数 147 天。</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(五) 无霜期</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多年平均无霜期达147天，最大积雪厚度180mm ，实测最大冻土深 1.55m。</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(六) 风</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全年最多风向为北风，各季北风和静风频率均大，除此而外，春秋季以偏东风和和偏西 风频率为大；夏季以偏西风频率为大；冬季的偏东风频率为大。形成这种地方性大风的原因 是特定地形和大气环流共同作用所致。多年平均最大风速 17m/s ，瞬时最大风速 40m/s ，风能资源丰富。</w:t>
      </w:r>
    </w:p>
    <w:p>
      <w:pPr>
        <w:bidi w:val="0"/>
        <w:rPr>
          <w:rFonts w:ascii="Arial"/>
          <w:sz w:val="21"/>
        </w:rPr>
      </w:pPr>
      <w:r>
        <w:rPr>
          <w:rFonts w:hint="eastAsia"/>
          <w:b/>
          <w:bCs/>
          <w:lang w:val="en-US" w:eastAsia="zh-CN"/>
        </w:rPr>
        <w:t>3</w:t>
      </w:r>
      <w:r>
        <w:rPr>
          <w:b/>
          <w:bCs/>
        </w:rPr>
        <w:t>.3.2  水文条件</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阿不都拉乡境内最大的河流为阿不都拉河，发源于塔尔巴哈台山，由北向南流经阿不都 拉乡、喀拉哈巴克乡、也门勒乡、窝依加依劳牧场入额敏河，河长 80km ，流域面积 285km2， 径流总量 1.0 亿 m3。</w:t>
      </w:r>
    </w:p>
    <w:p>
      <w:pPr>
        <w:pStyle w:val="4"/>
        <w:bidi w:val="0"/>
        <w:rPr>
          <w:rFonts w:hint="eastAsia"/>
          <w:lang w:val="en-US" w:eastAsia="zh-CN"/>
        </w:rPr>
      </w:pPr>
      <w:bookmarkStart w:id="99" w:name="_bookmark17"/>
      <w:bookmarkEnd w:id="99"/>
      <w:bookmarkStart w:id="100" w:name="_Toc19757"/>
      <w:r>
        <w:rPr>
          <w:rFonts w:hint="eastAsia"/>
          <w:lang w:val="en-US" w:eastAsia="zh-CN"/>
        </w:rPr>
        <w:t>3.4 工程地质及水文地质</w:t>
      </w:r>
      <w:bookmarkEnd w:id="100"/>
    </w:p>
    <w:p>
      <w:pPr>
        <w:bidi w:val="0"/>
        <w:rPr>
          <w:b/>
          <w:bCs/>
        </w:rPr>
      </w:pPr>
      <w:r>
        <w:rPr>
          <w:rFonts w:hint="eastAsia"/>
          <w:b/>
          <w:bCs/>
          <w:lang w:val="en-US" w:eastAsia="zh-CN"/>
        </w:rPr>
        <w:t>3</w:t>
      </w:r>
      <w:r>
        <w:rPr>
          <w:b/>
          <w:bCs/>
        </w:rPr>
        <w:t>.4.1区域地质</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 一) 地形地貌</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区域内有十分明显的两个地貌单元：塔尔巴哈台山脉、塔城-额敏盆地。横亘北部的塔尔 巴哈台山脉，西宽东窄，北高南低，分水岭一带海拔高度大于 2000m ，最高可达 2844m ，相 对高差 500~1000m，属切割较强的中山地形；其南侧大部分海拔 1200~2300m，切割深度小 于 500m ，属中低山地形，山前一带有分布不广的低山丘陵地形，海拔 800~1200m ，切割深 度 100~200m；塔城—额敏盆地位于塔尔巴哈台山的南侧，海拔高程 500~800m，最低 467. 1m， 除南部有水草沼泽外，属向南西倾斜的冲、洪积平原地形。</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在南北向水平挤压运动作用下北部山区不断上升，受强烈的剥蚀，相对沉降的南部平原 区不断接受沉积，在各种营力作用下，组成形态各异的地貌类型，基本可划分为构造剥蚀中 山地貌、山前冲洪积倾斜平原地貌，工作区处在构造剥蚀中山地貌单元的南部低山区。</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(二) 地层岩性</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塔尔巴哈台山由古生界构成其主体，新生界则沿山前呈连续分布，库吉拜河附近的地层 由古生界石炭系、泥盆系、华力西期侵入岩和第四系组成，现简述如下：</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1) 泥盆系 (D)</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分布在塔尔巴哈台复向斜南北两翼，包括泥盆系上、中、下统，各统之间为整合接触或 断层接触。测区分布的有中泥盆统克孜别依特组、上泥盆统塔尔巴哈台组上亚组。</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a.上泥盆统塔尔巴哈台组上亚组</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分布于塔尔巴哈台复向斜南北两翼，出露较全，总体呈北西-近东西向展布，被断层分割成大小不等的断块；岩性为深灰、灰黑色了砾岩，中-基性火山岩和灰白色砂岩，粉砂岩。</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b. 中泥盆统克孜别依特组</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分布在塔尔巴哈台复向斜南北两翼，呈北西或东西向展布，岩性为粉砂岩夹凝灰砂岩浅灰、灰白色。</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2) 石炭系</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以下石炭统为主，呈断块出露，主要构成塔尔巴哈台复向斜的核部，呈北西西或近东西 向展布。</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a.南明水组</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呈北西西向展布，为一套海陆交互相正常碎屑岩，上部有少量火山碎屑沉积岩，含动植物化石，植被较发育，可见厚度 1032.3m。</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b.黑山头组</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分布于 (6) 号与 (8) 号断层之间的库吉拜苏一带的岩性为细砂岩、粉砂岩、砾岩，灰、 浅灰色，可见厚度 156.2m。</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3) 第四系</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本区第四系分布于出山口及其以南、库吉拜河现代河床及冲沟，包括中更新统、上更新 统洪积、全新统冲洪积堆积。中更新统洪积堆积分布于山口处，由砂、砾石、黄土组成，半胶结状态。上更新统洪积堆积在山前形成丘陵垅岗地形或高平台，呈东西向带状展布，主要是黄土、 粉土及少量砾石，砾石成份复杂，磨圆度好。</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全新统冲洪积堆积多分布于现代河床及水系的两边，主要为砂土、粉土、碎石、岩屑， 大小不一，成份复杂。</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4) 岩浆岩工作区可见侵入岩只有规模不大的几块，均分布于塔尔巴哈台复向斜内，为华 力西中期第一次侵入岩，较均匀零星地分布于塔尔巴哈复向斜内，规模不大，多为岩株和岩 脉。</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(三) 地质构造</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工程区大地构造位置为准噶尔界山褶带，在该区以山前断裂为界可分两上 II 级构造单元， 即塔匀巴哈台区域东西向构造带 (II1) 和塔城－额敏凹陷 (II2) ，工作区处于塔尔巴哈台区 域东西向构造带的边缘部位。</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地质构造主要受控于南北向挤压应力作用，形成东西向或近东西向构造带，它们对谝区 的沉积作用、岩相建造、岩浆活动等都有明显的控制作用，其北部低山区构造相对较发育；其南塔额盆地构造相对较少。在工作区 25km 范围内自北向南可划分为三个次级构造单元，分别是：唐巴勒断褶带、 克孜别依特断褶带及南部的塔额凹陷。</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(1) 唐巴勒断褶带 (Ⅲ1) ：位于工作区北部，其南部边界距工作区约 15km 。代表断裂 为①号大断裂，呈舒缓波状，断裂北部 (上盘) 为中奥陶统科克沙依组，南部 (下盘) 为上 泥盆统塔尔巴台组下亚组或中泥盆统库鲁木迪组，为一个西端向北西偏转的东西向断褶构造 带，其活动发生在中奥陶世，晚近期活动性较弱。</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(2) 克孜别依特断褶带 (Ⅲ2) ：工作区位于该断褶带内，其北部距工作区约 15km ，南 部距工作区约 7km。位于该断褶带的断裂有 20 多条，与工程区较近的为⑧ (阔鲁杜拜苏~克兹布拉克他乌断裂) 、⑥ (纳尔台~波罗的克北断裂) 、⑤ (克孜别依特断裂) 及、② (喀木斯特~别里其 断裂) ，分述如下：</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⑧ ：为阔鲁杜拜苏~克兹布拉克他乌断裂，西起阔鲁杜拜苏，向东经克兹布拉克他乌到 别里其北东没入第四系中，走向近东西，全长 45km。该断裂西段发生在下石炭统黑山头组下 亚组与中泥盆统克孜别依特组和上泥盆统尔巴哈台组下亚组之间，东段发生在上泥盆统塔尔 巴台组下亚组内部，沿断裂带多为沟谷或山鞍等负地形，断裂两侧为地形高差较大，压性断 层，倾向北，倾角为 60~80°。</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⑥：为纳尔台~波罗的克北断裂，西起纳尔台，东到波罗的克，走向近东西，全长 70km。 断裂大部地段发生在中泥盆统克孜别依特组与上泥盆统塔尔巴哈台组下亚组之间，中部一段 发生在下石炭统黑山头组下亚组与中泥盆统克孜别依特组之间，为压性断层，倾向北，倾角 为 75~85°。</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⑤：克孜别依特断裂，全长 55km。西部发生在中泥盆统克孜别依特组与上泥盆统塔尔巴 哈台组下亚组之间，东部发生在中泥盆统克孜别依特组与下石炭统黑山头组之间，中部在下 石炭统黑山头组与南明水组之间。为压性断层，倾向北，倾角为70~80°。</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② ：喀木斯特~别里其断裂，西起喀木斯特，经库吉拜，到别里其没入第四系中，全长 80km 。近东西向展布，与塔额凹陷的分界线相吻合，成为第四系与基岩的分界线，西部为志 留系与泥盆泥的分界线，东部为下二叠统与上泥盆统的分界线，其余为泥盆系与第四系的分 界线。该断裂形成于加里东时期，在挽近期仍有活动，其突出特点是呈舒缓波状，断裂活动 性主要集中在 Q1~Q2 时期，Q2 以后其活动性明显减弱，对本工程的影响较弱。</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(3) 塔额凹陷：位于工作区的南部，其北部边界距工作区约 5km ，是东西向构造体系与 北东向构造体系的复合盆地，其中发育有一组北西向扭性隐伏断裂，基本上相互平行展布， 其间可见泉水及第四系陡坎。工作区处于地震活动较弱的地带，据新疆地震局资料，工作区没有发生过 5 级以上的地震，库坝区为弱地震活动背景下的地震少发区。根据《建筑抗震设计规范》  (GB50011-2010) 2016 版，塔城市阿不都拉乡抗震设防烈度 为 7 度，设计基本地震加速度为 0. 10g ，设计地震分组为第二组。</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(3) 区域稳定性评价</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从震源机制上看，该区未有发震记录，发生地震的可能性不大，处于相对稳定区；距其 最近的全新世活断层位于塔城市南东约 105km ，为全新世平推活断层，在该断层及其以北约 63km 范围内发生 3 次大于 5 级小于 6 级的地震，最新地震发生于 1962 年 3 月 28 日，位于工 作区南约 130km 的库普西 5 级地震，因此该地受地震构造影响较小。项目区附近主要断裂均 为地层分界线，走向近于东西向，其活动时期多发生于中奥陶纪至石炭纪之间，其后一直处 于相对稳定期。其复合部位较少，且处于与柔性的第四系相接触，应力集中小，易释放，属 区域稳定性较好的地区。</w:t>
      </w:r>
    </w:p>
    <w:p>
      <w:pPr>
        <w:bidi w:val="0"/>
        <w:rPr>
          <w:b/>
          <w:bCs/>
        </w:rPr>
      </w:pPr>
      <w:r>
        <w:rPr>
          <w:rFonts w:hint="eastAsia"/>
          <w:b/>
          <w:bCs/>
          <w:lang w:val="en-US" w:eastAsia="zh-CN"/>
        </w:rPr>
        <w:t>3</w:t>
      </w:r>
      <w:r>
        <w:rPr>
          <w:b/>
          <w:bCs/>
        </w:rPr>
        <w:t>.4.2  水文地质</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 一) 水文地质条件</w:t>
      </w:r>
    </w:p>
    <w:p>
      <w:pPr>
        <w:bidi w:val="0"/>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北部山区、低山丘陵区为地表水、地下水的形成区、转运区。倾斜平原即是地下水的补 给区也是地下水的径流区，冲积平原则是地下水的排泄区，地下水为第四系孔隙潜水和承压 水两种类型。倾斜平原的潜水埋藏深度大于 50m ，潜水浅藏带位于倾斜平原下部，以黄土岗 地南缘为界，南北宽 8~ 12km ，由西向东延长达 100km ，承压水主要分布在潜水浅藏带，含水 层以砂砾石与粉土砾石为主，隔水顶板以亚粘土为主，局部为厚层亚砂土，浅层承压水顶板 埋深 10~30m ，局部 30~50m ，深层承压水顶板埋深 50~ 120m 。冲积平原的潜水埋藏深度浅， 都在 5m 以内，潜砂层以都是全新统冲积层，加尔苏河两岸是富水性中等含水层，厚度 10m， 渗透系数一般为 3~20m/d ，在冲积平原沼涌起地区附近，潜水层为亚砂土、亚粘砾质砂夹层， 矿化度达 2.23g/L ，冲积平原承压水主要分布在叶尔盖提河东西的冲积平原内，井孔资料表明 浅层为全新统冲积层，深层为更新统冲积层，浅层埋藏在 21~38m 之间，含水厚度 20m。</w:t>
      </w:r>
    </w:p>
    <w:p>
      <w:pPr>
        <w:bidi w:val="0"/>
        <w:rPr>
          <w:rFonts w:hint="eastAsia"/>
          <w:b/>
          <w:bCs/>
          <w:lang w:val="en-US" w:eastAsia="zh-CN"/>
        </w:rPr>
      </w:pPr>
      <w:r>
        <w:rPr>
          <w:rFonts w:hint="eastAsia"/>
          <w:b/>
          <w:bCs/>
          <w:lang w:val="en-US" w:eastAsia="zh-CN"/>
        </w:rPr>
        <w:t>2.4.3  工程地质</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项目区地层为第四系冲积堆积物。在勘探深度 5m 内，岩性分为二层：</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第①层，含砾低液限粉土：层厚0~1.2m ，土黄、灰黄色，松散，稍湿~湿，砾石含量 5%；天然含水率 6.3%~12.9% ，天然密度 1.55~1.79g/cm³，湿陷系数 0.017~0.026 ，渗透系 数 3.2×10-3cm/s 。承载力值 110kPa ，压缩模量 6MPa 。土中粒径＜0.075mm 的颗粒含量大于 10% ，属冻胀性土；轻微湿陷性；中等透水性。</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第②层卵石混合土：埋深 1.2m ，层厚大于 4m ，青灰色，稍密~中密，干燥，天然密度 1.85~2.0g/cm³，渗透系数 5.52×10-2cm/s ，粒径一般为 20~60mm ，最大为 300mm ，母岩成 份主要为凝灰岩、花岗岩、砂砾岩等，磨圆度高。承载力值 300kPa ，变形模量 30MPa 。土中 粒径＜0.075mm 的颗粒含量小于 10% ，属非冻胀性土；强透水性。</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该段地下水属孔隙型潜水，地下水位埋深 10~20m ，水质良好。</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(二) 天然建筑材料</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本工程为管道工程，主要建筑物为管道沿线工作井、镇墩等附属建筑物，所需天然建筑 材料主要为混凝土粗细骨料。</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①混凝土骨料</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本次勘察按就近原则选择，据调查在库吉拜河出山口处有零星的砂砾石料，但其针片状， 含泥量高；阿不都拉河出山口及下游中阿不都拉乡附近的阿不都拉河道中，砂砾石料分选性 差，含泥量高，当地施工曾用此料场，但因质量不合格而废弃；故本次勘察料场选于塔城市 东南喀拉哈巴克乡路口的光辉料场，该料场为专业水洗砂砾石料场，该料场日供应量可达600m³ ，储量丰富，能够满足工程所需，交通条件较为便利，距项目区约 20km。</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1) 混凝土用细骨料</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该料场为专业砂砾石料场，具有筛选后的水洗砂砾石料和细砂料，细骨料砂级配曲线见图 3- 1 ，其各粒径组含量百分数计算结果见表 2.4- 1。</w:t>
      </w:r>
    </w:p>
    <w:p>
      <w:pPr>
        <w:spacing w:before="117" w:line="228" w:lineRule="auto"/>
        <w:ind w:left="2775"/>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表格</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2.4-1</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各粒径组百分含量</w:t>
      </w:r>
    </w:p>
    <w:p>
      <w:pPr>
        <w:spacing w:line="147" w:lineRule="exact"/>
      </w:pPr>
    </w:p>
    <w:tbl>
      <w:tblPr>
        <w:tblStyle w:val="21"/>
        <w:tblpPr w:leftFromText="180" w:rightFromText="180" w:vertAnchor="text" w:horzAnchor="page" w:tblpX="1576" w:tblpY="150"/>
        <w:tblOverlap w:val="never"/>
        <w:tblW w:w="96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7"/>
        <w:gridCol w:w="1254"/>
        <w:gridCol w:w="1434"/>
        <w:gridCol w:w="1613"/>
        <w:gridCol w:w="1793"/>
        <w:gridCol w:w="21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437" w:type="dxa"/>
            <w:vAlign w:val="top"/>
          </w:tcPr>
          <w:p>
            <w:pPr>
              <w:spacing w:before="61" w:line="228" w:lineRule="auto"/>
              <w:ind w:left="139"/>
              <w:rPr>
                <w:rFonts w:ascii="宋体" w:hAnsi="宋体" w:eastAsia="宋体" w:cs="宋体"/>
                <w:sz w:val="20"/>
                <w:szCs w:val="20"/>
              </w:rPr>
            </w:pPr>
            <w:r>
              <w:rPr>
                <w:rFonts w:ascii="宋体" w:hAnsi="宋体" w:eastAsia="宋体" w:cs="宋体"/>
                <w:spacing w:val="4"/>
                <w:sz w:val="20"/>
                <w:szCs w:val="20"/>
              </w:rPr>
              <w:t>粒径</w:t>
            </w:r>
            <w:r>
              <w:rPr>
                <w:rFonts w:ascii="宋体" w:hAnsi="宋体" w:eastAsia="宋体" w:cs="宋体"/>
                <w:spacing w:val="2"/>
                <w:sz w:val="20"/>
                <w:szCs w:val="20"/>
              </w:rPr>
              <w:t xml:space="preserve"> (</w:t>
            </w:r>
            <w:r>
              <w:rPr>
                <w:rFonts w:ascii="Times New Roman" w:hAnsi="Times New Roman" w:eastAsia="Times New Roman" w:cs="Times New Roman"/>
                <w:sz w:val="20"/>
                <w:szCs w:val="20"/>
              </w:rPr>
              <w:t>mm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p>
        </w:tc>
        <w:tc>
          <w:tcPr>
            <w:tcW w:w="1254" w:type="dxa"/>
            <w:vAlign w:val="top"/>
          </w:tcPr>
          <w:p>
            <w:pPr>
              <w:spacing w:before="61" w:line="265"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6"/>
                <w:sz w:val="20"/>
                <w:szCs w:val="20"/>
              </w:rPr>
              <w:t>5</w:t>
            </w:r>
            <w:r>
              <w:rPr>
                <w:rFonts w:ascii="宋体" w:hAnsi="宋体" w:eastAsia="宋体" w:cs="宋体"/>
                <w:spacing w:val="24"/>
                <w:sz w:val="20"/>
                <w:szCs w:val="20"/>
              </w:rPr>
              <w:t>~</w:t>
            </w:r>
            <w:r>
              <w:rPr>
                <w:rFonts w:ascii="Times New Roman" w:hAnsi="Times New Roman" w:eastAsia="Times New Roman" w:cs="Times New Roman"/>
                <w:spacing w:val="24"/>
                <w:sz w:val="20"/>
                <w:szCs w:val="20"/>
              </w:rPr>
              <w:t>2.5</w:t>
            </w:r>
          </w:p>
        </w:tc>
        <w:tc>
          <w:tcPr>
            <w:tcW w:w="1434" w:type="dxa"/>
            <w:vAlign w:val="top"/>
          </w:tcPr>
          <w:p>
            <w:pPr>
              <w:spacing w:before="61" w:line="267"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17"/>
                <w:sz w:val="20"/>
                <w:szCs w:val="20"/>
              </w:rPr>
              <w:t>2.5</w:t>
            </w:r>
            <w:r>
              <w:rPr>
                <w:rFonts w:ascii="宋体" w:hAnsi="宋体" w:eastAsia="宋体" w:cs="宋体"/>
                <w:spacing w:val="17"/>
                <w:sz w:val="20"/>
                <w:szCs w:val="20"/>
              </w:rPr>
              <w:t>~</w:t>
            </w:r>
            <w:r>
              <w:rPr>
                <w:rFonts w:ascii="Times New Roman" w:hAnsi="Times New Roman" w:eastAsia="Times New Roman" w:cs="Times New Roman"/>
                <w:spacing w:val="17"/>
                <w:sz w:val="20"/>
                <w:szCs w:val="20"/>
              </w:rPr>
              <w:t>1.2</w:t>
            </w:r>
            <w:r>
              <w:rPr>
                <w:rFonts w:ascii="Times New Roman" w:hAnsi="Times New Roman" w:eastAsia="Times New Roman" w:cs="Times New Roman"/>
                <w:spacing w:val="15"/>
                <w:sz w:val="20"/>
                <w:szCs w:val="20"/>
              </w:rPr>
              <w:t>5</w:t>
            </w:r>
          </w:p>
        </w:tc>
        <w:tc>
          <w:tcPr>
            <w:tcW w:w="1613" w:type="dxa"/>
            <w:vAlign w:val="top"/>
          </w:tcPr>
          <w:p>
            <w:pPr>
              <w:spacing w:before="61" w:line="265" w:lineRule="exact"/>
              <w:ind w:left="355"/>
              <w:rPr>
                <w:rFonts w:ascii="Times New Roman" w:hAnsi="Times New Roman" w:eastAsia="Times New Roman" w:cs="Times New Roman"/>
                <w:sz w:val="20"/>
                <w:szCs w:val="20"/>
              </w:rPr>
            </w:pPr>
            <w:r>
              <w:rPr>
                <w:rFonts w:ascii="Times New Roman" w:hAnsi="Times New Roman" w:eastAsia="Times New Roman" w:cs="Times New Roman"/>
                <w:spacing w:val="16"/>
                <w:sz w:val="20"/>
                <w:szCs w:val="20"/>
              </w:rPr>
              <w:t>1</w:t>
            </w:r>
            <w:r>
              <w:rPr>
                <w:rFonts w:ascii="Times New Roman" w:hAnsi="Times New Roman" w:eastAsia="Times New Roman" w:cs="Times New Roman"/>
                <w:spacing w:val="13"/>
                <w:sz w:val="20"/>
                <w:szCs w:val="20"/>
              </w:rPr>
              <w:t>.25</w:t>
            </w:r>
            <w:r>
              <w:rPr>
                <w:rFonts w:ascii="宋体" w:hAnsi="宋体" w:eastAsia="宋体" w:cs="宋体"/>
                <w:spacing w:val="13"/>
                <w:sz w:val="20"/>
                <w:szCs w:val="20"/>
              </w:rPr>
              <w:t>~</w:t>
            </w:r>
            <w:r>
              <w:rPr>
                <w:rFonts w:ascii="Times New Roman" w:hAnsi="Times New Roman" w:eastAsia="Times New Roman" w:cs="Times New Roman"/>
                <w:spacing w:val="13"/>
                <w:sz w:val="20"/>
                <w:szCs w:val="20"/>
              </w:rPr>
              <w:t>0.63</w:t>
            </w:r>
          </w:p>
        </w:tc>
        <w:tc>
          <w:tcPr>
            <w:tcW w:w="1793" w:type="dxa"/>
            <w:vAlign w:val="top"/>
          </w:tcPr>
          <w:p>
            <w:pPr>
              <w:spacing w:before="61" w:line="265"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16"/>
                <w:sz w:val="20"/>
                <w:szCs w:val="20"/>
              </w:rPr>
              <w:t>0</w:t>
            </w:r>
            <w:r>
              <w:rPr>
                <w:rFonts w:ascii="Times New Roman" w:hAnsi="Times New Roman" w:eastAsia="Times New Roman" w:cs="Times New Roman"/>
                <w:spacing w:val="14"/>
                <w:sz w:val="20"/>
                <w:szCs w:val="20"/>
              </w:rPr>
              <w:t>.63</w:t>
            </w:r>
            <w:r>
              <w:rPr>
                <w:rFonts w:ascii="宋体" w:hAnsi="宋体" w:eastAsia="宋体" w:cs="宋体"/>
                <w:spacing w:val="14"/>
                <w:sz w:val="20"/>
                <w:szCs w:val="20"/>
              </w:rPr>
              <w:t>~</w:t>
            </w:r>
            <w:r>
              <w:rPr>
                <w:rFonts w:ascii="Times New Roman" w:hAnsi="Times New Roman" w:eastAsia="Times New Roman" w:cs="Times New Roman"/>
                <w:spacing w:val="14"/>
                <w:sz w:val="20"/>
                <w:szCs w:val="20"/>
              </w:rPr>
              <w:t>0.315</w:t>
            </w:r>
          </w:p>
        </w:tc>
        <w:tc>
          <w:tcPr>
            <w:tcW w:w="2166" w:type="dxa"/>
            <w:vAlign w:val="top"/>
          </w:tcPr>
          <w:p>
            <w:pPr>
              <w:spacing w:before="61" w:line="265"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0</w:t>
            </w:r>
            <w:r>
              <w:rPr>
                <w:rFonts w:ascii="Times New Roman" w:hAnsi="Times New Roman" w:eastAsia="Times New Roman" w:cs="Times New Roman"/>
                <w:spacing w:val="8"/>
                <w:sz w:val="20"/>
                <w:szCs w:val="20"/>
              </w:rPr>
              <w:t>.315</w:t>
            </w:r>
            <w:r>
              <w:rPr>
                <w:rFonts w:ascii="宋体" w:hAnsi="宋体" w:eastAsia="宋体" w:cs="宋体"/>
                <w:spacing w:val="8"/>
                <w:sz w:val="20"/>
                <w:szCs w:val="20"/>
              </w:rPr>
              <w:t>~</w:t>
            </w:r>
            <w:r>
              <w:rPr>
                <w:rFonts w:ascii="Times New Roman" w:hAnsi="Times New Roman" w:eastAsia="Times New Roman" w:cs="Times New Roman"/>
                <w:spacing w:val="8"/>
                <w:sz w:val="20"/>
                <w:szCs w:val="20"/>
              </w:rPr>
              <w:t>0. 158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437" w:type="dxa"/>
            <w:vAlign w:val="top"/>
          </w:tcPr>
          <w:p>
            <w:pPr>
              <w:spacing w:before="29" w:line="274" w:lineRule="exact"/>
              <w:ind w:left="216"/>
              <w:rPr>
                <w:rFonts w:ascii="宋体" w:hAnsi="宋体" w:eastAsia="宋体" w:cs="宋体"/>
                <w:sz w:val="20"/>
                <w:szCs w:val="20"/>
              </w:rPr>
            </w:pPr>
            <w:r>
              <w:rPr>
                <w:rFonts w:ascii="宋体" w:hAnsi="宋体" w:eastAsia="宋体" w:cs="宋体"/>
                <w:spacing w:val="8"/>
                <w:position w:val="1"/>
                <w:sz w:val="20"/>
                <w:szCs w:val="20"/>
              </w:rPr>
              <w:t>含</w:t>
            </w:r>
            <w:r>
              <w:rPr>
                <w:rFonts w:ascii="宋体" w:hAnsi="宋体" w:eastAsia="宋体" w:cs="宋体"/>
                <w:spacing w:val="4"/>
                <w:position w:val="1"/>
                <w:sz w:val="20"/>
                <w:szCs w:val="20"/>
              </w:rPr>
              <w:t>量 (</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w:t>
            </w:r>
          </w:p>
        </w:tc>
        <w:tc>
          <w:tcPr>
            <w:tcW w:w="1254" w:type="dxa"/>
            <w:vAlign w:val="top"/>
          </w:tcPr>
          <w:p>
            <w:pPr>
              <w:spacing w:before="96"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3.8</w:t>
            </w:r>
          </w:p>
        </w:tc>
        <w:tc>
          <w:tcPr>
            <w:tcW w:w="1434" w:type="dxa"/>
            <w:vAlign w:val="top"/>
          </w:tcPr>
          <w:p>
            <w:pPr>
              <w:spacing w:before="95" w:line="198"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1.2</w:t>
            </w:r>
          </w:p>
        </w:tc>
        <w:tc>
          <w:tcPr>
            <w:tcW w:w="1613" w:type="dxa"/>
            <w:vAlign w:val="top"/>
          </w:tcPr>
          <w:p>
            <w:pPr>
              <w:spacing w:before="95" w:line="195"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7.2</w:t>
            </w:r>
          </w:p>
        </w:tc>
        <w:tc>
          <w:tcPr>
            <w:tcW w:w="1793" w:type="dxa"/>
            <w:vAlign w:val="top"/>
          </w:tcPr>
          <w:p>
            <w:pPr>
              <w:spacing w:before="96"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5.3</w:t>
            </w:r>
          </w:p>
        </w:tc>
        <w:tc>
          <w:tcPr>
            <w:tcW w:w="2166" w:type="dxa"/>
            <w:vAlign w:val="top"/>
          </w:tcPr>
          <w:p>
            <w:pPr>
              <w:spacing w:before="95" w:line="198"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2.5</w:t>
            </w:r>
          </w:p>
        </w:tc>
      </w:tr>
    </w:tbl>
    <w:p>
      <w:pPr>
        <w:spacing w:before="128" w:line="227" w:lineRule="auto"/>
        <w:ind w:left="525"/>
        <w:rPr>
          <w:rFonts w:ascii="宋体" w:hAnsi="宋体" w:eastAsia="宋体" w:cs="宋体"/>
          <w:sz w:val="23"/>
          <w:szCs w:val="23"/>
        </w:rPr>
      </w:pPr>
      <w:r>
        <w:rPr>
          <w:rFonts w:ascii="宋体" w:hAnsi="宋体" w:eastAsia="宋体" w:cs="宋体"/>
          <w:spacing w:val="8"/>
          <w:sz w:val="23"/>
          <w:szCs w:val="23"/>
        </w:rPr>
        <w:t>混凝</w:t>
      </w:r>
      <w:r>
        <w:rPr>
          <w:rFonts w:ascii="宋体" w:hAnsi="宋体" w:eastAsia="宋体" w:cs="宋体"/>
          <w:spacing w:val="4"/>
          <w:sz w:val="23"/>
          <w:szCs w:val="23"/>
        </w:rPr>
        <w:t xml:space="preserve">土用细骨料的质量评价见表 </w:t>
      </w:r>
      <w:r>
        <w:rPr>
          <w:rFonts w:ascii="Times New Roman" w:hAnsi="Times New Roman" w:eastAsia="Times New Roman" w:cs="Times New Roman"/>
          <w:spacing w:val="4"/>
          <w:sz w:val="23"/>
          <w:szCs w:val="23"/>
        </w:rPr>
        <w:t>2.4-2</w:t>
      </w:r>
      <w:r>
        <w:rPr>
          <w:rFonts w:ascii="宋体" w:hAnsi="宋体" w:eastAsia="宋体" w:cs="宋体"/>
          <w:spacing w:val="4"/>
          <w:sz w:val="23"/>
          <w:szCs w:val="23"/>
        </w:rPr>
        <w:t>。</w:t>
      </w:r>
    </w:p>
    <w:p>
      <w:pPr>
        <w:spacing w:before="187" w:line="227" w:lineRule="auto"/>
        <w:ind w:left="255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7"/>
          <w:sz w:val="23"/>
          <w:szCs w:val="23"/>
          <w14:textOutline w14:w="4358" w14:cap="sq" w14:cmpd="sng">
            <w14:solidFill>
              <w14:srgbClr w14:val="000000"/>
            </w14:solidFill>
            <w14:prstDash w14:val="solid"/>
            <w14:bevel/>
          </w14:textOutline>
        </w:rPr>
        <w:t>格</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2.4-2</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混凝土用细骨料质量评价表</w:t>
      </w:r>
    </w:p>
    <w:tbl>
      <w:tblPr>
        <w:tblStyle w:val="21"/>
        <w:tblpPr w:leftFromText="180" w:rightFromText="180" w:vertAnchor="text" w:horzAnchor="page" w:tblpX="1561" w:tblpY="146"/>
        <w:tblOverlap w:val="never"/>
        <w:tblW w:w="985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3"/>
        <w:gridCol w:w="2986"/>
        <w:gridCol w:w="1974"/>
        <w:gridCol w:w="1783"/>
        <w:gridCol w:w="20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053" w:type="dxa"/>
            <w:vAlign w:val="top"/>
          </w:tcPr>
          <w:p>
            <w:pPr>
              <w:spacing w:before="64" w:line="230" w:lineRule="auto"/>
              <w:ind w:left="320"/>
              <w:rPr>
                <w:rFonts w:ascii="宋体" w:hAnsi="宋体" w:eastAsia="宋体" w:cs="宋体"/>
                <w:sz w:val="20"/>
                <w:szCs w:val="20"/>
              </w:rPr>
            </w:pPr>
            <w:r>
              <w:rPr>
                <w:rFonts w:ascii="宋体" w:hAnsi="宋体" w:eastAsia="宋体" w:cs="宋体"/>
                <w:spacing w:val="5"/>
                <w:sz w:val="20"/>
                <w:szCs w:val="20"/>
              </w:rPr>
              <w:t>序号</w:t>
            </w:r>
          </w:p>
        </w:tc>
        <w:tc>
          <w:tcPr>
            <w:tcW w:w="2986" w:type="dxa"/>
            <w:vAlign w:val="top"/>
          </w:tcPr>
          <w:p>
            <w:pPr>
              <w:spacing w:before="65" w:line="229" w:lineRule="auto"/>
              <w:ind w:left="1133"/>
              <w:rPr>
                <w:rFonts w:ascii="宋体" w:hAnsi="宋体" w:eastAsia="宋体" w:cs="宋体"/>
                <w:sz w:val="20"/>
                <w:szCs w:val="20"/>
              </w:rPr>
            </w:pPr>
            <w:r>
              <w:rPr>
                <w:rFonts w:ascii="宋体" w:hAnsi="宋体" w:eastAsia="宋体" w:cs="宋体"/>
                <w:spacing w:val="14"/>
                <w:sz w:val="20"/>
                <w:szCs w:val="20"/>
              </w:rPr>
              <w:t>项</w:t>
            </w:r>
            <w:r>
              <w:rPr>
                <w:rFonts w:ascii="宋体" w:hAnsi="宋体" w:eastAsia="宋体" w:cs="宋体"/>
                <w:spacing w:val="12"/>
                <w:sz w:val="20"/>
                <w:szCs w:val="20"/>
              </w:rPr>
              <w:t xml:space="preserve">   目</w:t>
            </w:r>
          </w:p>
        </w:tc>
        <w:tc>
          <w:tcPr>
            <w:tcW w:w="1974" w:type="dxa"/>
            <w:vAlign w:val="top"/>
          </w:tcPr>
          <w:p>
            <w:pPr>
              <w:spacing w:before="65" w:line="229" w:lineRule="auto"/>
              <w:ind w:left="625"/>
              <w:rPr>
                <w:rFonts w:ascii="宋体" w:hAnsi="宋体" w:eastAsia="宋体" w:cs="宋体"/>
                <w:sz w:val="20"/>
                <w:szCs w:val="20"/>
              </w:rPr>
            </w:pPr>
            <w:r>
              <w:rPr>
                <w:rFonts w:ascii="宋体" w:hAnsi="宋体" w:eastAsia="宋体" w:cs="宋体"/>
                <w:spacing w:val="8"/>
                <w:sz w:val="20"/>
                <w:szCs w:val="20"/>
              </w:rPr>
              <w:t>试</w:t>
            </w:r>
            <w:r>
              <w:rPr>
                <w:rFonts w:ascii="宋体" w:hAnsi="宋体" w:eastAsia="宋体" w:cs="宋体"/>
                <w:spacing w:val="7"/>
                <w:sz w:val="20"/>
                <w:szCs w:val="20"/>
              </w:rPr>
              <w:t>验指标</w:t>
            </w:r>
          </w:p>
        </w:tc>
        <w:tc>
          <w:tcPr>
            <w:tcW w:w="1783" w:type="dxa"/>
            <w:vAlign w:val="top"/>
          </w:tcPr>
          <w:p>
            <w:pPr>
              <w:spacing w:before="65" w:line="227" w:lineRule="auto"/>
              <w:ind w:left="477"/>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价标准</w:t>
            </w:r>
          </w:p>
        </w:tc>
        <w:tc>
          <w:tcPr>
            <w:tcW w:w="2058" w:type="dxa"/>
            <w:vAlign w:val="top"/>
          </w:tcPr>
          <w:p>
            <w:pPr>
              <w:spacing w:before="65" w:line="227" w:lineRule="auto"/>
              <w:ind w:left="614"/>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1053" w:type="dxa"/>
            <w:vAlign w:val="top"/>
          </w:tcPr>
          <w:p>
            <w:pPr>
              <w:spacing w:before="98" w:line="195" w:lineRule="auto"/>
              <w:ind w:left="4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86" w:type="dxa"/>
            <w:vAlign w:val="top"/>
          </w:tcPr>
          <w:p>
            <w:pPr>
              <w:spacing w:before="31" w:line="274" w:lineRule="exact"/>
              <w:ind w:left="603"/>
              <w:rPr>
                <w:rFonts w:ascii="宋体" w:hAnsi="宋体" w:eastAsia="宋体" w:cs="宋体"/>
                <w:sz w:val="20"/>
                <w:szCs w:val="20"/>
              </w:rPr>
            </w:pPr>
            <w:r>
              <w:rPr>
                <w:rFonts w:ascii="宋体" w:hAnsi="宋体" w:eastAsia="宋体" w:cs="宋体"/>
                <w:spacing w:val="-1"/>
                <w:position w:val="2"/>
                <w:sz w:val="20"/>
                <w:szCs w:val="20"/>
              </w:rPr>
              <w:t>表观密</w:t>
            </w:r>
            <w:r>
              <w:rPr>
                <w:rFonts w:ascii="宋体" w:hAnsi="宋体" w:eastAsia="宋体" w:cs="宋体"/>
                <w:position w:val="2"/>
                <w:sz w:val="20"/>
                <w:szCs w:val="20"/>
              </w:rPr>
              <w:t>度 (</w:t>
            </w:r>
            <w:r>
              <w:rPr>
                <w:rFonts w:ascii="Times New Roman" w:hAnsi="Times New Roman" w:eastAsia="Times New Roman" w:cs="Times New Roman"/>
                <w:position w:val="2"/>
                <w:sz w:val="20"/>
                <w:szCs w:val="20"/>
              </w:rPr>
              <w:t>g/cm</w:t>
            </w:r>
            <w:r>
              <w:rPr>
                <w:rFonts w:ascii="宋体" w:hAnsi="宋体" w:eastAsia="宋体" w:cs="宋体"/>
                <w:position w:val="2"/>
                <w:sz w:val="20"/>
                <w:szCs w:val="20"/>
              </w:rPr>
              <w:t>³ )</w:t>
            </w:r>
          </w:p>
        </w:tc>
        <w:tc>
          <w:tcPr>
            <w:tcW w:w="1974" w:type="dxa"/>
            <w:vAlign w:val="top"/>
          </w:tcPr>
          <w:p>
            <w:pPr>
              <w:spacing w:before="98" w:line="198" w:lineRule="auto"/>
              <w:ind w:left="80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.73</w:t>
            </w:r>
          </w:p>
        </w:tc>
        <w:tc>
          <w:tcPr>
            <w:tcW w:w="1783" w:type="dxa"/>
            <w:vAlign w:val="top"/>
          </w:tcPr>
          <w:p>
            <w:pPr>
              <w:spacing w:before="31" w:line="274" w:lineRule="exact"/>
              <w:ind w:left="651"/>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&gt;2.5</w:t>
            </w:r>
            <w:r>
              <w:rPr>
                <w:rFonts w:ascii="Times New Roman" w:hAnsi="Times New Roman" w:eastAsia="Times New Roman" w:cs="Times New Roman"/>
                <w:spacing w:val="3"/>
                <w:position w:val="1"/>
                <w:sz w:val="20"/>
                <w:szCs w:val="20"/>
              </w:rPr>
              <w:t>5</w:t>
            </w:r>
          </w:p>
        </w:tc>
        <w:tc>
          <w:tcPr>
            <w:tcW w:w="2058" w:type="dxa"/>
            <w:vAlign w:val="top"/>
          </w:tcPr>
          <w:p>
            <w:pPr>
              <w:spacing w:before="62" w:line="228" w:lineRule="auto"/>
              <w:ind w:left="617"/>
              <w:rPr>
                <w:rFonts w:ascii="宋体" w:hAnsi="宋体" w:eastAsia="宋体" w:cs="宋体"/>
                <w:sz w:val="20"/>
                <w:szCs w:val="20"/>
              </w:rPr>
            </w:pPr>
            <w:r>
              <w:rPr>
                <w:rFonts w:ascii="宋体" w:hAnsi="宋体" w:eastAsia="宋体" w:cs="宋体"/>
                <w:spacing w:val="7"/>
                <w:sz w:val="20"/>
                <w:szCs w:val="20"/>
              </w:rPr>
              <w:t>符合要</w:t>
            </w:r>
            <w:r>
              <w:rPr>
                <w:rFonts w:ascii="宋体" w:hAnsi="宋体" w:eastAsia="宋体" w:cs="宋体"/>
                <w:spacing w:val="6"/>
                <w:sz w:val="20"/>
                <w:szCs w:val="20"/>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053" w:type="dxa"/>
            <w:vAlign w:val="top"/>
          </w:tcPr>
          <w:p>
            <w:pPr>
              <w:spacing w:before="98" w:line="195" w:lineRule="auto"/>
              <w:ind w:left="47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86" w:type="dxa"/>
            <w:vAlign w:val="top"/>
          </w:tcPr>
          <w:p>
            <w:pPr>
              <w:spacing w:before="31" w:line="274" w:lineRule="exact"/>
              <w:ind w:left="605"/>
              <w:rPr>
                <w:rFonts w:ascii="宋体" w:hAnsi="宋体" w:eastAsia="宋体" w:cs="宋体"/>
                <w:sz w:val="20"/>
                <w:szCs w:val="20"/>
              </w:rPr>
            </w:pPr>
            <w:r>
              <w:rPr>
                <w:rFonts w:ascii="宋体" w:hAnsi="宋体" w:eastAsia="宋体" w:cs="宋体"/>
                <w:spacing w:val="-1"/>
                <w:position w:val="2"/>
                <w:sz w:val="20"/>
                <w:szCs w:val="20"/>
              </w:rPr>
              <w:t xml:space="preserve">堆积密度 </w:t>
            </w:r>
            <w:r>
              <w:rPr>
                <w:rFonts w:ascii="宋体" w:hAnsi="宋体" w:eastAsia="宋体" w:cs="宋体"/>
                <w:position w:val="2"/>
                <w:sz w:val="20"/>
                <w:szCs w:val="20"/>
              </w:rPr>
              <w:t>(</w:t>
            </w:r>
            <w:r>
              <w:rPr>
                <w:rFonts w:ascii="Times New Roman" w:hAnsi="Times New Roman" w:eastAsia="Times New Roman" w:cs="Times New Roman"/>
                <w:position w:val="2"/>
                <w:sz w:val="20"/>
                <w:szCs w:val="20"/>
              </w:rPr>
              <w:t>g/cm</w:t>
            </w:r>
            <w:r>
              <w:rPr>
                <w:rFonts w:ascii="宋体" w:hAnsi="宋体" w:eastAsia="宋体" w:cs="宋体"/>
                <w:position w:val="2"/>
                <w:sz w:val="20"/>
                <w:szCs w:val="20"/>
              </w:rPr>
              <w:t>³ )</w:t>
            </w:r>
          </w:p>
        </w:tc>
        <w:tc>
          <w:tcPr>
            <w:tcW w:w="1974" w:type="dxa"/>
            <w:vAlign w:val="top"/>
          </w:tcPr>
          <w:p>
            <w:pPr>
              <w:spacing w:before="97" w:line="198" w:lineRule="auto"/>
              <w:ind w:left="8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68</w:t>
            </w:r>
          </w:p>
        </w:tc>
        <w:tc>
          <w:tcPr>
            <w:tcW w:w="1783" w:type="dxa"/>
            <w:vAlign w:val="top"/>
          </w:tcPr>
          <w:p>
            <w:pPr>
              <w:spacing w:before="31"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&gt;</w:t>
            </w:r>
            <w:r>
              <w:rPr>
                <w:rFonts w:ascii="Times New Roman" w:hAnsi="Times New Roman" w:eastAsia="Times New Roman" w:cs="Times New Roman"/>
                <w:spacing w:val="-6"/>
                <w:position w:val="1"/>
                <w:sz w:val="20"/>
                <w:szCs w:val="20"/>
              </w:rPr>
              <w:t xml:space="preserve"> 1.5</w:t>
            </w:r>
          </w:p>
        </w:tc>
        <w:tc>
          <w:tcPr>
            <w:tcW w:w="2058" w:type="dxa"/>
            <w:vAlign w:val="top"/>
          </w:tcPr>
          <w:p>
            <w:pPr>
              <w:spacing w:before="62" w:line="228" w:lineRule="auto"/>
              <w:ind w:left="617"/>
              <w:rPr>
                <w:rFonts w:ascii="宋体" w:hAnsi="宋体" w:eastAsia="宋体" w:cs="宋体"/>
                <w:sz w:val="20"/>
                <w:szCs w:val="20"/>
              </w:rPr>
            </w:pPr>
            <w:r>
              <w:rPr>
                <w:rFonts w:ascii="宋体" w:hAnsi="宋体" w:eastAsia="宋体" w:cs="宋体"/>
                <w:spacing w:val="7"/>
                <w:sz w:val="20"/>
                <w:szCs w:val="20"/>
              </w:rPr>
              <w:t>符合要</w:t>
            </w:r>
            <w:r>
              <w:rPr>
                <w:rFonts w:ascii="宋体" w:hAnsi="宋体" w:eastAsia="宋体" w:cs="宋体"/>
                <w:spacing w:val="6"/>
                <w:sz w:val="20"/>
                <w:szCs w:val="20"/>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053" w:type="dxa"/>
            <w:vAlign w:val="top"/>
          </w:tcPr>
          <w:p>
            <w:pPr>
              <w:spacing w:before="99"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986" w:type="dxa"/>
            <w:vAlign w:val="top"/>
          </w:tcPr>
          <w:p>
            <w:pPr>
              <w:spacing w:before="32" w:line="274" w:lineRule="exact"/>
              <w:ind w:left="885"/>
              <w:rPr>
                <w:rFonts w:ascii="宋体" w:hAnsi="宋体" w:eastAsia="宋体" w:cs="宋体"/>
                <w:sz w:val="20"/>
                <w:szCs w:val="20"/>
              </w:rPr>
            </w:pPr>
            <w:r>
              <w:rPr>
                <w:rFonts w:ascii="宋体" w:hAnsi="宋体" w:eastAsia="宋体" w:cs="宋体"/>
                <w:spacing w:val="9"/>
                <w:position w:val="1"/>
                <w:sz w:val="20"/>
                <w:szCs w:val="20"/>
              </w:rPr>
              <w:t>含</w:t>
            </w:r>
            <w:r>
              <w:rPr>
                <w:rFonts w:ascii="宋体" w:hAnsi="宋体" w:eastAsia="宋体" w:cs="宋体"/>
                <w:spacing w:val="5"/>
                <w:position w:val="1"/>
                <w:sz w:val="20"/>
                <w:szCs w:val="20"/>
              </w:rPr>
              <w:t>泥量 (</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w:t>
            </w:r>
          </w:p>
        </w:tc>
        <w:tc>
          <w:tcPr>
            <w:tcW w:w="1974" w:type="dxa"/>
            <w:vAlign w:val="top"/>
          </w:tcPr>
          <w:p>
            <w:pPr>
              <w:spacing w:before="99" w:line="195"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w:t>
            </w:r>
          </w:p>
        </w:tc>
        <w:tc>
          <w:tcPr>
            <w:tcW w:w="1783" w:type="dxa"/>
            <w:vAlign w:val="top"/>
          </w:tcPr>
          <w:p>
            <w:pPr>
              <w:spacing w:before="32" w:line="274" w:lineRule="exact"/>
              <w:ind w:left="7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&lt;</w:t>
            </w:r>
            <w:r>
              <w:rPr>
                <w:rFonts w:ascii="Times New Roman" w:hAnsi="Times New Roman" w:eastAsia="Times New Roman" w:cs="Times New Roman"/>
                <w:spacing w:val="2"/>
                <w:position w:val="2"/>
                <w:sz w:val="20"/>
                <w:szCs w:val="20"/>
              </w:rPr>
              <w:t>3</w:t>
            </w:r>
          </w:p>
        </w:tc>
        <w:tc>
          <w:tcPr>
            <w:tcW w:w="2058" w:type="dxa"/>
            <w:vAlign w:val="top"/>
          </w:tcPr>
          <w:p>
            <w:pPr>
              <w:spacing w:before="63" w:line="228" w:lineRule="auto"/>
              <w:ind w:left="617"/>
              <w:rPr>
                <w:rFonts w:ascii="宋体" w:hAnsi="宋体" w:eastAsia="宋体" w:cs="宋体"/>
                <w:sz w:val="20"/>
                <w:szCs w:val="20"/>
              </w:rPr>
            </w:pPr>
            <w:r>
              <w:rPr>
                <w:rFonts w:ascii="宋体" w:hAnsi="宋体" w:eastAsia="宋体" w:cs="宋体"/>
                <w:spacing w:val="7"/>
                <w:sz w:val="20"/>
                <w:szCs w:val="20"/>
              </w:rPr>
              <w:t>符合要</w:t>
            </w:r>
            <w:r>
              <w:rPr>
                <w:rFonts w:ascii="宋体" w:hAnsi="宋体" w:eastAsia="宋体" w:cs="宋体"/>
                <w:spacing w:val="6"/>
                <w:sz w:val="20"/>
                <w:szCs w:val="20"/>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053" w:type="dxa"/>
            <w:vAlign w:val="top"/>
          </w:tcPr>
          <w:p>
            <w:pPr>
              <w:spacing w:before="99"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986" w:type="dxa"/>
            <w:vAlign w:val="top"/>
          </w:tcPr>
          <w:p>
            <w:pPr>
              <w:spacing w:before="32" w:line="274" w:lineRule="exact"/>
              <w:ind w:left="886"/>
              <w:rPr>
                <w:rFonts w:ascii="宋体" w:hAnsi="宋体" w:eastAsia="宋体" w:cs="宋体"/>
                <w:sz w:val="20"/>
                <w:szCs w:val="20"/>
              </w:rPr>
            </w:pPr>
            <w:r>
              <w:rPr>
                <w:rFonts w:ascii="宋体" w:hAnsi="宋体" w:eastAsia="宋体" w:cs="宋体"/>
                <w:spacing w:val="8"/>
                <w:position w:val="1"/>
                <w:sz w:val="20"/>
                <w:szCs w:val="20"/>
              </w:rPr>
              <w:t>有</w:t>
            </w:r>
            <w:r>
              <w:rPr>
                <w:rFonts w:ascii="宋体" w:hAnsi="宋体" w:eastAsia="宋体" w:cs="宋体"/>
                <w:spacing w:val="5"/>
                <w:position w:val="1"/>
                <w:sz w:val="20"/>
                <w:szCs w:val="20"/>
              </w:rPr>
              <w:t>机质 (</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w:t>
            </w:r>
          </w:p>
        </w:tc>
        <w:tc>
          <w:tcPr>
            <w:tcW w:w="1974" w:type="dxa"/>
            <w:vAlign w:val="top"/>
          </w:tcPr>
          <w:p>
            <w:pPr>
              <w:spacing w:before="63" w:line="229" w:lineRule="auto"/>
              <w:ind w:left="470"/>
              <w:rPr>
                <w:rFonts w:ascii="宋体" w:hAnsi="宋体" w:eastAsia="宋体" w:cs="宋体"/>
                <w:sz w:val="20"/>
                <w:szCs w:val="20"/>
              </w:rPr>
            </w:pPr>
            <w:r>
              <w:rPr>
                <w:rFonts w:ascii="宋体" w:hAnsi="宋体" w:eastAsia="宋体" w:cs="宋体"/>
                <w:spacing w:val="9"/>
                <w:sz w:val="20"/>
                <w:szCs w:val="20"/>
              </w:rPr>
              <w:t>浅</w:t>
            </w:r>
            <w:r>
              <w:rPr>
                <w:rFonts w:ascii="宋体" w:hAnsi="宋体" w:eastAsia="宋体" w:cs="宋体"/>
                <w:spacing w:val="7"/>
                <w:sz w:val="20"/>
                <w:szCs w:val="20"/>
              </w:rPr>
              <w:t>于标准色</w:t>
            </w:r>
          </w:p>
        </w:tc>
        <w:tc>
          <w:tcPr>
            <w:tcW w:w="1783" w:type="dxa"/>
            <w:vAlign w:val="top"/>
          </w:tcPr>
          <w:p>
            <w:pPr>
              <w:spacing w:before="63" w:line="229" w:lineRule="auto"/>
              <w:ind w:left="376"/>
              <w:rPr>
                <w:rFonts w:ascii="宋体" w:hAnsi="宋体" w:eastAsia="宋体" w:cs="宋体"/>
                <w:sz w:val="20"/>
                <w:szCs w:val="20"/>
              </w:rPr>
            </w:pPr>
            <w:r>
              <w:rPr>
                <w:rFonts w:ascii="宋体" w:hAnsi="宋体" w:eastAsia="宋体" w:cs="宋体"/>
                <w:spacing w:val="9"/>
                <w:sz w:val="20"/>
                <w:szCs w:val="20"/>
              </w:rPr>
              <w:t>浅</w:t>
            </w:r>
            <w:r>
              <w:rPr>
                <w:rFonts w:ascii="宋体" w:hAnsi="宋体" w:eastAsia="宋体" w:cs="宋体"/>
                <w:spacing w:val="7"/>
                <w:sz w:val="20"/>
                <w:szCs w:val="20"/>
              </w:rPr>
              <w:t>于标准色</w:t>
            </w:r>
          </w:p>
        </w:tc>
        <w:tc>
          <w:tcPr>
            <w:tcW w:w="2058" w:type="dxa"/>
            <w:vAlign w:val="top"/>
          </w:tcPr>
          <w:p>
            <w:pPr>
              <w:spacing w:before="63" w:line="228" w:lineRule="auto"/>
              <w:ind w:left="617"/>
              <w:rPr>
                <w:rFonts w:ascii="宋体" w:hAnsi="宋体" w:eastAsia="宋体" w:cs="宋体"/>
                <w:sz w:val="20"/>
                <w:szCs w:val="20"/>
              </w:rPr>
            </w:pPr>
            <w:r>
              <w:rPr>
                <w:rFonts w:ascii="宋体" w:hAnsi="宋体" w:eastAsia="宋体" w:cs="宋体"/>
                <w:spacing w:val="7"/>
                <w:sz w:val="20"/>
                <w:szCs w:val="20"/>
              </w:rPr>
              <w:t>符合要</w:t>
            </w:r>
            <w:r>
              <w:rPr>
                <w:rFonts w:ascii="宋体" w:hAnsi="宋体" w:eastAsia="宋体" w:cs="宋体"/>
                <w:spacing w:val="6"/>
                <w:sz w:val="20"/>
                <w:szCs w:val="20"/>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1053" w:type="dxa"/>
            <w:vAlign w:val="top"/>
          </w:tcPr>
          <w:p>
            <w:pPr>
              <w:spacing w:before="104" w:line="192"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986" w:type="dxa"/>
            <w:vAlign w:val="top"/>
          </w:tcPr>
          <w:p>
            <w:pPr>
              <w:spacing w:before="34" w:line="274" w:lineRule="exact"/>
              <w:ind w:left="886"/>
              <w:rPr>
                <w:rFonts w:ascii="宋体" w:hAnsi="宋体" w:eastAsia="宋体" w:cs="宋体"/>
                <w:sz w:val="20"/>
                <w:szCs w:val="20"/>
              </w:rPr>
            </w:pPr>
            <w:r>
              <w:rPr>
                <w:rFonts w:ascii="宋体" w:hAnsi="宋体" w:eastAsia="宋体" w:cs="宋体"/>
                <w:spacing w:val="8"/>
                <w:position w:val="1"/>
                <w:sz w:val="20"/>
                <w:szCs w:val="20"/>
              </w:rPr>
              <w:t>孔</w:t>
            </w:r>
            <w:r>
              <w:rPr>
                <w:rFonts w:ascii="宋体" w:hAnsi="宋体" w:eastAsia="宋体" w:cs="宋体"/>
                <w:spacing w:val="5"/>
                <w:position w:val="1"/>
                <w:sz w:val="20"/>
                <w:szCs w:val="20"/>
              </w:rPr>
              <w:t>隙率 (</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w:t>
            </w:r>
          </w:p>
        </w:tc>
        <w:tc>
          <w:tcPr>
            <w:tcW w:w="1974" w:type="dxa"/>
            <w:vAlign w:val="top"/>
          </w:tcPr>
          <w:p>
            <w:pPr>
              <w:spacing w:before="101" w:line="195" w:lineRule="auto"/>
              <w:ind w:left="8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38.</w:t>
            </w:r>
            <w:r>
              <w:rPr>
                <w:rFonts w:ascii="Times New Roman" w:hAnsi="Times New Roman" w:eastAsia="Times New Roman" w:cs="Times New Roman"/>
                <w:spacing w:val="3"/>
                <w:sz w:val="20"/>
                <w:szCs w:val="20"/>
              </w:rPr>
              <w:t>5</w:t>
            </w:r>
          </w:p>
        </w:tc>
        <w:tc>
          <w:tcPr>
            <w:tcW w:w="1783" w:type="dxa"/>
            <w:vAlign w:val="top"/>
          </w:tcPr>
          <w:p>
            <w:pPr>
              <w:spacing w:before="34" w:line="274" w:lineRule="exact"/>
              <w:ind w:left="730"/>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&lt;</w:t>
            </w:r>
            <w:r>
              <w:rPr>
                <w:rFonts w:ascii="Times New Roman" w:hAnsi="Times New Roman" w:eastAsia="Times New Roman" w:cs="Times New Roman"/>
                <w:spacing w:val="3"/>
                <w:position w:val="2"/>
                <w:sz w:val="20"/>
                <w:szCs w:val="20"/>
              </w:rPr>
              <w:t>40</w:t>
            </w:r>
          </w:p>
        </w:tc>
        <w:tc>
          <w:tcPr>
            <w:tcW w:w="2058" w:type="dxa"/>
            <w:vAlign w:val="top"/>
          </w:tcPr>
          <w:p>
            <w:pPr>
              <w:spacing w:before="65" w:line="228" w:lineRule="auto"/>
              <w:ind w:left="617"/>
              <w:rPr>
                <w:rFonts w:ascii="宋体" w:hAnsi="宋体" w:eastAsia="宋体" w:cs="宋体"/>
                <w:sz w:val="20"/>
                <w:szCs w:val="20"/>
              </w:rPr>
            </w:pPr>
            <w:r>
              <w:rPr>
                <w:rFonts w:ascii="宋体" w:hAnsi="宋体" w:eastAsia="宋体" w:cs="宋体"/>
                <w:spacing w:val="7"/>
                <w:sz w:val="20"/>
                <w:szCs w:val="20"/>
              </w:rPr>
              <w:t>符合要</w:t>
            </w:r>
            <w:r>
              <w:rPr>
                <w:rFonts w:ascii="宋体" w:hAnsi="宋体" w:eastAsia="宋体" w:cs="宋体"/>
                <w:spacing w:val="6"/>
                <w:sz w:val="20"/>
                <w:szCs w:val="20"/>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053" w:type="dxa"/>
            <w:vAlign w:val="top"/>
          </w:tcPr>
          <w:p>
            <w:pPr>
              <w:spacing w:before="100" w:line="195" w:lineRule="auto"/>
              <w:ind w:left="48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986" w:type="dxa"/>
            <w:vAlign w:val="top"/>
          </w:tcPr>
          <w:p>
            <w:pPr>
              <w:spacing w:before="65" w:line="228" w:lineRule="auto"/>
              <w:ind w:left="702"/>
              <w:rPr>
                <w:rFonts w:ascii="宋体" w:hAnsi="宋体" w:eastAsia="宋体" w:cs="宋体"/>
                <w:sz w:val="20"/>
                <w:szCs w:val="20"/>
              </w:rPr>
            </w:pPr>
            <w:r>
              <w:rPr>
                <w:rFonts w:ascii="宋体" w:hAnsi="宋体" w:eastAsia="宋体" w:cs="宋体"/>
                <w:spacing w:val="5"/>
                <w:sz w:val="20"/>
                <w:szCs w:val="20"/>
              </w:rPr>
              <w:t>平均粒径 (</w:t>
            </w:r>
            <w:r>
              <w:rPr>
                <w:rFonts w:ascii="Times New Roman" w:hAnsi="Times New Roman" w:eastAsia="Times New Roman" w:cs="Times New Roman"/>
                <w:sz w:val="20"/>
                <w:szCs w:val="20"/>
              </w:rPr>
              <w:t>mm</w:t>
            </w:r>
            <w:r>
              <w:rPr>
                <w:rFonts w:ascii="Times New Roman" w:hAnsi="Times New Roman" w:eastAsia="Times New Roman" w:cs="Times New Roman"/>
                <w:spacing w:val="5"/>
                <w:sz w:val="20"/>
                <w:szCs w:val="20"/>
              </w:rPr>
              <w:t xml:space="preserve"> </w:t>
            </w:r>
            <w:r>
              <w:rPr>
                <w:rFonts w:ascii="宋体" w:hAnsi="宋体" w:eastAsia="宋体" w:cs="宋体"/>
                <w:spacing w:val="4"/>
                <w:sz w:val="20"/>
                <w:szCs w:val="20"/>
              </w:rPr>
              <w:t>)</w:t>
            </w:r>
          </w:p>
        </w:tc>
        <w:tc>
          <w:tcPr>
            <w:tcW w:w="1974" w:type="dxa"/>
            <w:vAlign w:val="top"/>
          </w:tcPr>
          <w:p>
            <w:pPr>
              <w:spacing w:before="101" w:line="195" w:lineRule="auto"/>
              <w:ind w:left="8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.41</w:t>
            </w:r>
          </w:p>
        </w:tc>
        <w:tc>
          <w:tcPr>
            <w:tcW w:w="1783" w:type="dxa"/>
            <w:vAlign w:val="top"/>
          </w:tcPr>
          <w:p>
            <w:pPr>
              <w:spacing w:before="65" w:line="265"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16"/>
                <w:sz w:val="20"/>
                <w:szCs w:val="20"/>
              </w:rPr>
              <w:t>0</w:t>
            </w:r>
            <w:r>
              <w:rPr>
                <w:rFonts w:ascii="Times New Roman" w:hAnsi="Times New Roman" w:eastAsia="Times New Roman" w:cs="Times New Roman"/>
                <w:spacing w:val="15"/>
                <w:sz w:val="20"/>
                <w:szCs w:val="20"/>
              </w:rPr>
              <w:t>.36</w:t>
            </w:r>
            <w:r>
              <w:rPr>
                <w:rFonts w:ascii="宋体" w:hAnsi="宋体" w:eastAsia="宋体" w:cs="宋体"/>
                <w:spacing w:val="15"/>
                <w:sz w:val="20"/>
                <w:szCs w:val="20"/>
              </w:rPr>
              <w:t>~</w:t>
            </w:r>
            <w:r>
              <w:rPr>
                <w:rFonts w:ascii="Times New Roman" w:hAnsi="Times New Roman" w:eastAsia="Times New Roman" w:cs="Times New Roman"/>
                <w:spacing w:val="15"/>
                <w:sz w:val="20"/>
                <w:szCs w:val="20"/>
              </w:rPr>
              <w:t>0.50</w:t>
            </w:r>
          </w:p>
        </w:tc>
        <w:tc>
          <w:tcPr>
            <w:tcW w:w="2058" w:type="dxa"/>
            <w:vAlign w:val="top"/>
          </w:tcPr>
          <w:p>
            <w:pPr>
              <w:spacing w:before="65" w:line="228" w:lineRule="auto"/>
              <w:ind w:left="617"/>
              <w:rPr>
                <w:rFonts w:ascii="宋体" w:hAnsi="宋体" w:eastAsia="宋体" w:cs="宋体"/>
                <w:sz w:val="20"/>
                <w:szCs w:val="20"/>
              </w:rPr>
            </w:pPr>
            <w:r>
              <w:rPr>
                <w:rFonts w:ascii="宋体" w:hAnsi="宋体" w:eastAsia="宋体" w:cs="宋体"/>
                <w:spacing w:val="7"/>
                <w:sz w:val="20"/>
                <w:szCs w:val="20"/>
              </w:rPr>
              <w:t>符合要</w:t>
            </w:r>
            <w:r>
              <w:rPr>
                <w:rFonts w:ascii="宋体" w:hAnsi="宋体" w:eastAsia="宋体" w:cs="宋体"/>
                <w:spacing w:val="6"/>
                <w:sz w:val="20"/>
                <w:szCs w:val="20"/>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053" w:type="dxa"/>
            <w:vAlign w:val="top"/>
          </w:tcPr>
          <w:p>
            <w:pPr>
              <w:spacing w:before="105" w:line="192" w:lineRule="auto"/>
              <w:ind w:left="47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986" w:type="dxa"/>
            <w:vAlign w:val="top"/>
          </w:tcPr>
          <w:p>
            <w:pPr>
              <w:spacing w:before="66" w:line="228" w:lineRule="auto"/>
              <w:ind w:left="1078"/>
              <w:rPr>
                <w:rFonts w:ascii="宋体" w:hAnsi="宋体" w:eastAsia="宋体" w:cs="宋体"/>
                <w:sz w:val="20"/>
                <w:szCs w:val="20"/>
              </w:rPr>
            </w:pPr>
            <w:r>
              <w:rPr>
                <w:rFonts w:ascii="宋体" w:hAnsi="宋体" w:eastAsia="宋体" w:cs="宋体"/>
                <w:spacing w:val="7"/>
                <w:sz w:val="20"/>
                <w:szCs w:val="20"/>
              </w:rPr>
              <w:t>细度模数</w:t>
            </w:r>
          </w:p>
        </w:tc>
        <w:tc>
          <w:tcPr>
            <w:tcW w:w="1974" w:type="dxa"/>
            <w:vAlign w:val="top"/>
          </w:tcPr>
          <w:p>
            <w:pPr>
              <w:spacing w:before="102" w:line="198" w:lineRule="auto"/>
              <w:ind w:left="80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.89</w:t>
            </w:r>
          </w:p>
        </w:tc>
        <w:tc>
          <w:tcPr>
            <w:tcW w:w="1783" w:type="dxa"/>
            <w:vAlign w:val="top"/>
          </w:tcPr>
          <w:p>
            <w:pPr>
              <w:spacing w:before="66" w:line="265"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22"/>
                <w:sz w:val="20"/>
                <w:szCs w:val="20"/>
              </w:rPr>
              <w:t>2</w:t>
            </w:r>
            <w:r>
              <w:rPr>
                <w:rFonts w:ascii="Times New Roman" w:hAnsi="Times New Roman" w:eastAsia="Times New Roman" w:cs="Times New Roman"/>
                <w:spacing w:val="19"/>
                <w:sz w:val="20"/>
                <w:szCs w:val="20"/>
              </w:rPr>
              <w:t>.5</w:t>
            </w:r>
            <w:r>
              <w:rPr>
                <w:rFonts w:ascii="宋体" w:hAnsi="宋体" w:eastAsia="宋体" w:cs="宋体"/>
                <w:spacing w:val="19"/>
                <w:sz w:val="20"/>
                <w:szCs w:val="20"/>
              </w:rPr>
              <w:t>~</w:t>
            </w:r>
            <w:r>
              <w:rPr>
                <w:rFonts w:ascii="Times New Roman" w:hAnsi="Times New Roman" w:eastAsia="Times New Roman" w:cs="Times New Roman"/>
                <w:spacing w:val="19"/>
                <w:sz w:val="20"/>
                <w:szCs w:val="20"/>
              </w:rPr>
              <w:t>3.5</w:t>
            </w:r>
          </w:p>
        </w:tc>
        <w:tc>
          <w:tcPr>
            <w:tcW w:w="2058" w:type="dxa"/>
            <w:vAlign w:val="top"/>
          </w:tcPr>
          <w:p>
            <w:pPr>
              <w:spacing w:before="66" w:line="228" w:lineRule="auto"/>
              <w:ind w:left="617"/>
              <w:rPr>
                <w:rFonts w:ascii="宋体" w:hAnsi="宋体" w:eastAsia="宋体" w:cs="宋体"/>
                <w:sz w:val="20"/>
                <w:szCs w:val="20"/>
              </w:rPr>
            </w:pPr>
            <w:r>
              <w:rPr>
                <w:rFonts w:ascii="宋体" w:hAnsi="宋体" w:eastAsia="宋体" w:cs="宋体"/>
                <w:spacing w:val="7"/>
                <w:sz w:val="20"/>
                <w:szCs w:val="20"/>
              </w:rPr>
              <w:t>符合要</w:t>
            </w:r>
            <w:r>
              <w:rPr>
                <w:rFonts w:ascii="宋体" w:hAnsi="宋体" w:eastAsia="宋体" w:cs="宋体"/>
                <w:spacing w:val="6"/>
                <w:sz w:val="20"/>
                <w:szCs w:val="20"/>
              </w:rPr>
              <w:t>求</w:t>
            </w:r>
          </w:p>
        </w:tc>
      </w:tr>
    </w:tbl>
    <w:p>
      <w:pPr>
        <w:spacing w:line="149" w:lineRule="exact"/>
      </w:pP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2) 混凝土用粗骨料</w:t>
      </w: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砾石成分为深色火成岩，磨圆度好，混凝土用粗骨料各粒径组含量百分数计算结果见表2.4-3 ；混凝土粗骨料质量评价结果见 2.4-4</w:t>
      </w:r>
    </w:p>
    <w:p>
      <w:pPr>
        <w:pStyle w:val="2"/>
        <w:rPr>
          <w:rFonts w:hint="eastAsia"/>
          <w:lang w:val="en-US" w:eastAsia="zh-CN"/>
        </w:rPr>
      </w:pPr>
    </w:p>
    <w:p>
      <w:pPr>
        <w:spacing w:before="117" w:line="228" w:lineRule="auto"/>
        <w:ind w:left="2733"/>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表格</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2.4-3</w:t>
      </w: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粗骨料各粒径组含量表</w:t>
      </w:r>
    </w:p>
    <w:tbl>
      <w:tblPr>
        <w:tblStyle w:val="21"/>
        <w:tblpPr w:leftFromText="180" w:rightFromText="180" w:vertAnchor="text" w:horzAnchor="page" w:tblpX="1341" w:tblpY="118"/>
        <w:tblOverlap w:val="never"/>
        <w:tblW w:w="985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52"/>
        <w:gridCol w:w="2499"/>
        <w:gridCol w:w="2499"/>
        <w:gridCol w:w="25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352" w:type="dxa"/>
            <w:vAlign w:val="top"/>
          </w:tcPr>
          <w:p>
            <w:pPr>
              <w:spacing w:before="64" w:line="228" w:lineRule="auto"/>
              <w:ind w:left="599"/>
              <w:rPr>
                <w:rFonts w:ascii="宋体" w:hAnsi="宋体" w:eastAsia="宋体" w:cs="宋体"/>
                <w:sz w:val="20"/>
                <w:szCs w:val="20"/>
              </w:rPr>
            </w:pPr>
            <w:r>
              <w:rPr>
                <w:rFonts w:ascii="宋体" w:hAnsi="宋体" w:eastAsia="宋体" w:cs="宋体"/>
                <w:spacing w:val="4"/>
                <w:sz w:val="20"/>
                <w:szCs w:val="20"/>
              </w:rPr>
              <w:t>粒径</w:t>
            </w:r>
            <w:r>
              <w:rPr>
                <w:rFonts w:ascii="宋体" w:hAnsi="宋体" w:eastAsia="宋体" w:cs="宋体"/>
                <w:spacing w:val="2"/>
                <w:sz w:val="20"/>
                <w:szCs w:val="20"/>
              </w:rPr>
              <w:t xml:space="preserve"> (</w:t>
            </w:r>
            <w:r>
              <w:rPr>
                <w:rFonts w:ascii="Times New Roman" w:hAnsi="Times New Roman" w:eastAsia="Times New Roman" w:cs="Times New Roman"/>
                <w:sz w:val="20"/>
                <w:szCs w:val="20"/>
              </w:rPr>
              <w:t>mm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p>
        </w:tc>
        <w:tc>
          <w:tcPr>
            <w:tcW w:w="2499" w:type="dxa"/>
            <w:vAlign w:val="top"/>
          </w:tcPr>
          <w:p>
            <w:pPr>
              <w:spacing w:before="64" w:line="265" w:lineRule="exact"/>
              <w:ind w:left="994"/>
              <w:rPr>
                <w:rFonts w:ascii="Times New Roman" w:hAnsi="Times New Roman" w:eastAsia="Times New Roman" w:cs="Times New Roman"/>
                <w:sz w:val="20"/>
                <w:szCs w:val="20"/>
              </w:rPr>
            </w:pPr>
            <w:r>
              <w:rPr>
                <w:rFonts w:ascii="Times New Roman" w:hAnsi="Times New Roman" w:eastAsia="Times New Roman" w:cs="Times New Roman"/>
                <w:spacing w:val="30"/>
                <w:sz w:val="20"/>
                <w:szCs w:val="20"/>
              </w:rPr>
              <w:t>5</w:t>
            </w:r>
            <w:r>
              <w:rPr>
                <w:rFonts w:ascii="宋体" w:hAnsi="宋体" w:eastAsia="宋体" w:cs="宋体"/>
                <w:spacing w:val="28"/>
                <w:sz w:val="20"/>
                <w:szCs w:val="20"/>
              </w:rPr>
              <w:t>~</w:t>
            </w:r>
            <w:r>
              <w:rPr>
                <w:rFonts w:ascii="Times New Roman" w:hAnsi="Times New Roman" w:eastAsia="Times New Roman" w:cs="Times New Roman"/>
                <w:spacing w:val="28"/>
                <w:sz w:val="20"/>
                <w:szCs w:val="20"/>
              </w:rPr>
              <w:t>20</w:t>
            </w:r>
          </w:p>
        </w:tc>
        <w:tc>
          <w:tcPr>
            <w:tcW w:w="2499" w:type="dxa"/>
            <w:vAlign w:val="top"/>
          </w:tcPr>
          <w:p>
            <w:pPr>
              <w:spacing w:before="64" w:line="265" w:lineRule="exact"/>
              <w:ind w:left="938"/>
              <w:rPr>
                <w:rFonts w:ascii="Times New Roman" w:hAnsi="Times New Roman" w:eastAsia="Times New Roman" w:cs="Times New Roman"/>
                <w:sz w:val="20"/>
                <w:szCs w:val="20"/>
              </w:rPr>
            </w:pPr>
            <w:r>
              <w:rPr>
                <w:rFonts w:ascii="Times New Roman" w:hAnsi="Times New Roman" w:eastAsia="Times New Roman" w:cs="Times New Roman"/>
                <w:spacing w:val="25"/>
                <w:sz w:val="20"/>
                <w:szCs w:val="20"/>
              </w:rPr>
              <w:t>20</w:t>
            </w:r>
            <w:r>
              <w:rPr>
                <w:rFonts w:ascii="宋体" w:hAnsi="宋体" w:eastAsia="宋体" w:cs="宋体"/>
                <w:spacing w:val="25"/>
                <w:sz w:val="20"/>
                <w:szCs w:val="20"/>
              </w:rPr>
              <w:t>~</w:t>
            </w:r>
            <w:r>
              <w:rPr>
                <w:rFonts w:ascii="Times New Roman" w:hAnsi="Times New Roman" w:eastAsia="Times New Roman" w:cs="Times New Roman"/>
                <w:spacing w:val="25"/>
                <w:sz w:val="20"/>
                <w:szCs w:val="20"/>
              </w:rPr>
              <w:t>40</w:t>
            </w:r>
          </w:p>
        </w:tc>
        <w:tc>
          <w:tcPr>
            <w:tcW w:w="2504" w:type="dxa"/>
            <w:vAlign w:val="top"/>
          </w:tcPr>
          <w:p>
            <w:pPr>
              <w:spacing w:before="33" w:line="274" w:lineRule="exact"/>
              <w:ind w:left="108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&gt;</w:t>
            </w:r>
            <w:r>
              <w:rPr>
                <w:rFonts w:ascii="Times New Roman" w:hAnsi="Times New Roman" w:eastAsia="Times New Roman" w:cs="Times New Roman"/>
                <w:spacing w:val="3"/>
                <w:position w:val="2"/>
                <w:sz w:val="20"/>
                <w:szCs w:val="20"/>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352" w:type="dxa"/>
            <w:vAlign w:val="top"/>
          </w:tcPr>
          <w:p>
            <w:pPr>
              <w:spacing w:before="32" w:line="275" w:lineRule="exact"/>
              <w:ind w:left="673"/>
              <w:rPr>
                <w:rFonts w:ascii="宋体" w:hAnsi="宋体" w:eastAsia="宋体" w:cs="宋体"/>
                <w:sz w:val="20"/>
                <w:szCs w:val="20"/>
              </w:rPr>
            </w:pPr>
            <w:r>
              <w:rPr>
                <w:rFonts w:ascii="宋体" w:hAnsi="宋体" w:eastAsia="宋体" w:cs="宋体"/>
                <w:spacing w:val="5"/>
                <w:position w:val="1"/>
                <w:sz w:val="20"/>
                <w:szCs w:val="20"/>
              </w:rPr>
              <w:t>含量 (</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w:t>
            </w:r>
          </w:p>
        </w:tc>
        <w:tc>
          <w:tcPr>
            <w:tcW w:w="2499" w:type="dxa"/>
            <w:vAlign w:val="top"/>
          </w:tcPr>
          <w:p>
            <w:pPr>
              <w:spacing w:before="99"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2499" w:type="dxa"/>
            <w:vAlign w:val="top"/>
          </w:tcPr>
          <w:p>
            <w:pPr>
              <w:spacing w:before="99" w:line="195" w:lineRule="auto"/>
              <w:ind w:left="106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7.2</w:t>
            </w:r>
          </w:p>
        </w:tc>
        <w:tc>
          <w:tcPr>
            <w:tcW w:w="2504" w:type="dxa"/>
            <w:vAlign w:val="top"/>
          </w:tcPr>
          <w:p>
            <w:pPr>
              <w:spacing w:before="99" w:line="195" w:lineRule="auto"/>
              <w:ind w:left="112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4"/>
                <w:sz w:val="20"/>
                <w:szCs w:val="20"/>
              </w:rPr>
              <w:t>.8</w:t>
            </w:r>
          </w:p>
        </w:tc>
      </w:tr>
    </w:tbl>
    <w:p>
      <w:pPr>
        <w:spacing w:line="148" w:lineRule="exact"/>
      </w:pPr>
    </w:p>
    <w:p>
      <w:pPr>
        <w:spacing w:before="35" w:line="227" w:lineRule="auto"/>
        <w:ind w:left="2915"/>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表格</w:t>
      </w:r>
      <w:r>
        <w:rPr>
          <w:rFonts w:ascii="宋体" w:hAnsi="宋体" w:eastAsia="宋体" w:cs="宋体"/>
          <w:spacing w:val="3"/>
          <w:sz w:val="23"/>
          <w:szCs w:val="23"/>
        </w:rPr>
        <w:t xml:space="preserve"> </w:t>
      </w:r>
      <w:r>
        <w:rPr>
          <w:rFonts w:ascii="Times New Roman" w:hAnsi="Times New Roman" w:eastAsia="Times New Roman" w:cs="Times New Roman"/>
          <w:b/>
          <w:bCs/>
          <w:spacing w:val="3"/>
          <w:sz w:val="23"/>
          <w:szCs w:val="23"/>
        </w:rPr>
        <w:t>2.4-4</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粗骨料质量评价表</w:t>
      </w:r>
    </w:p>
    <w:tbl>
      <w:tblPr>
        <w:tblStyle w:val="21"/>
        <w:tblpPr w:leftFromText="180" w:rightFromText="180" w:vertAnchor="text" w:horzAnchor="page" w:tblpX="1356" w:tblpY="79"/>
        <w:tblOverlap w:val="never"/>
        <w:tblW w:w="985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5"/>
        <w:gridCol w:w="2712"/>
        <w:gridCol w:w="2141"/>
        <w:gridCol w:w="2041"/>
        <w:gridCol w:w="21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855" w:type="dxa"/>
            <w:vAlign w:val="top"/>
          </w:tcPr>
          <w:p>
            <w:pPr>
              <w:spacing w:before="64" w:line="230" w:lineRule="auto"/>
              <w:ind w:left="221"/>
              <w:rPr>
                <w:rFonts w:ascii="宋体" w:hAnsi="宋体" w:eastAsia="宋体" w:cs="宋体"/>
                <w:sz w:val="20"/>
                <w:szCs w:val="20"/>
              </w:rPr>
            </w:pPr>
            <w:r>
              <w:rPr>
                <w:rFonts w:ascii="宋体" w:hAnsi="宋体" w:eastAsia="宋体" w:cs="宋体"/>
                <w:spacing w:val="5"/>
                <w:sz w:val="20"/>
                <w:szCs w:val="20"/>
              </w:rPr>
              <w:t>序号</w:t>
            </w:r>
          </w:p>
        </w:tc>
        <w:tc>
          <w:tcPr>
            <w:tcW w:w="2712" w:type="dxa"/>
            <w:vAlign w:val="top"/>
          </w:tcPr>
          <w:p>
            <w:pPr>
              <w:spacing w:before="65" w:line="229" w:lineRule="auto"/>
              <w:ind w:left="995"/>
              <w:rPr>
                <w:rFonts w:ascii="宋体" w:hAnsi="宋体" w:eastAsia="宋体" w:cs="宋体"/>
                <w:sz w:val="20"/>
                <w:szCs w:val="20"/>
              </w:rPr>
            </w:pPr>
            <w:r>
              <w:rPr>
                <w:rFonts w:ascii="宋体" w:hAnsi="宋体" w:eastAsia="宋体" w:cs="宋体"/>
                <w:spacing w:val="14"/>
                <w:sz w:val="20"/>
                <w:szCs w:val="20"/>
              </w:rPr>
              <w:t>项</w:t>
            </w:r>
            <w:r>
              <w:rPr>
                <w:rFonts w:ascii="宋体" w:hAnsi="宋体" w:eastAsia="宋体" w:cs="宋体"/>
                <w:spacing w:val="12"/>
                <w:sz w:val="20"/>
                <w:szCs w:val="20"/>
              </w:rPr>
              <w:t xml:space="preserve">   目</w:t>
            </w:r>
          </w:p>
        </w:tc>
        <w:tc>
          <w:tcPr>
            <w:tcW w:w="2141" w:type="dxa"/>
            <w:vAlign w:val="top"/>
          </w:tcPr>
          <w:p>
            <w:pPr>
              <w:spacing w:before="65" w:line="229" w:lineRule="auto"/>
              <w:ind w:left="656"/>
              <w:rPr>
                <w:rFonts w:ascii="宋体" w:hAnsi="宋体" w:eastAsia="宋体" w:cs="宋体"/>
                <w:sz w:val="20"/>
                <w:szCs w:val="20"/>
              </w:rPr>
            </w:pPr>
            <w:r>
              <w:rPr>
                <w:rFonts w:ascii="宋体" w:hAnsi="宋体" w:eastAsia="宋体" w:cs="宋体"/>
                <w:spacing w:val="8"/>
                <w:sz w:val="20"/>
                <w:szCs w:val="20"/>
              </w:rPr>
              <w:t>试</w:t>
            </w:r>
            <w:r>
              <w:rPr>
                <w:rFonts w:ascii="宋体" w:hAnsi="宋体" w:eastAsia="宋体" w:cs="宋体"/>
                <w:spacing w:val="7"/>
                <w:sz w:val="20"/>
                <w:szCs w:val="20"/>
              </w:rPr>
              <w:t>验指标</w:t>
            </w:r>
          </w:p>
        </w:tc>
        <w:tc>
          <w:tcPr>
            <w:tcW w:w="2041" w:type="dxa"/>
            <w:vAlign w:val="top"/>
          </w:tcPr>
          <w:p>
            <w:pPr>
              <w:spacing w:before="65" w:line="227" w:lineRule="auto"/>
              <w:ind w:left="607"/>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价标准</w:t>
            </w:r>
          </w:p>
        </w:tc>
        <w:tc>
          <w:tcPr>
            <w:tcW w:w="2105" w:type="dxa"/>
            <w:vAlign w:val="top"/>
          </w:tcPr>
          <w:p>
            <w:pPr>
              <w:spacing w:before="65" w:line="227" w:lineRule="auto"/>
              <w:ind w:left="637"/>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855" w:type="dxa"/>
            <w:vAlign w:val="top"/>
          </w:tcPr>
          <w:p>
            <w:pPr>
              <w:spacing w:before="9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712" w:type="dxa"/>
            <w:vAlign w:val="top"/>
          </w:tcPr>
          <w:p>
            <w:pPr>
              <w:spacing w:before="31" w:line="274" w:lineRule="exact"/>
              <w:ind w:left="465"/>
              <w:rPr>
                <w:rFonts w:ascii="宋体" w:hAnsi="宋体" w:eastAsia="宋体" w:cs="宋体"/>
                <w:sz w:val="20"/>
                <w:szCs w:val="20"/>
              </w:rPr>
            </w:pPr>
            <w:r>
              <w:rPr>
                <w:rFonts w:ascii="宋体" w:hAnsi="宋体" w:eastAsia="宋体" w:cs="宋体"/>
                <w:spacing w:val="-1"/>
                <w:position w:val="2"/>
                <w:sz w:val="20"/>
                <w:szCs w:val="20"/>
              </w:rPr>
              <w:t>表观密</w:t>
            </w:r>
            <w:r>
              <w:rPr>
                <w:rFonts w:ascii="宋体" w:hAnsi="宋体" w:eastAsia="宋体" w:cs="宋体"/>
                <w:position w:val="2"/>
                <w:sz w:val="20"/>
                <w:szCs w:val="20"/>
              </w:rPr>
              <w:t>度 (</w:t>
            </w:r>
            <w:r>
              <w:rPr>
                <w:rFonts w:ascii="Times New Roman" w:hAnsi="Times New Roman" w:eastAsia="Times New Roman" w:cs="Times New Roman"/>
                <w:position w:val="2"/>
                <w:sz w:val="20"/>
                <w:szCs w:val="20"/>
              </w:rPr>
              <w:t>g/cm</w:t>
            </w:r>
            <w:r>
              <w:rPr>
                <w:rFonts w:ascii="宋体" w:hAnsi="宋体" w:eastAsia="宋体" w:cs="宋体"/>
                <w:position w:val="2"/>
                <w:sz w:val="20"/>
                <w:szCs w:val="20"/>
              </w:rPr>
              <w:t>³ )</w:t>
            </w:r>
          </w:p>
        </w:tc>
        <w:tc>
          <w:tcPr>
            <w:tcW w:w="2141" w:type="dxa"/>
            <w:vAlign w:val="top"/>
          </w:tcPr>
          <w:p>
            <w:pPr>
              <w:spacing w:before="62" w:line="265" w:lineRule="exact"/>
              <w:ind w:left="810"/>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 xml:space="preserve">2 </w:t>
            </w:r>
            <w:r>
              <w:rPr>
                <w:rFonts w:ascii="宋体" w:hAnsi="宋体" w:eastAsia="宋体" w:cs="宋体"/>
                <w:spacing w:val="-6"/>
                <w:position w:val="1"/>
                <w:sz w:val="20"/>
                <w:szCs w:val="20"/>
              </w:rPr>
              <w:t>．</w:t>
            </w:r>
            <w:r>
              <w:rPr>
                <w:rFonts w:ascii="Times New Roman" w:hAnsi="Times New Roman" w:eastAsia="Times New Roman" w:cs="Times New Roman"/>
                <w:spacing w:val="-6"/>
                <w:position w:val="1"/>
                <w:sz w:val="20"/>
                <w:szCs w:val="20"/>
              </w:rPr>
              <w:t>62</w:t>
            </w:r>
          </w:p>
        </w:tc>
        <w:tc>
          <w:tcPr>
            <w:tcW w:w="2041" w:type="dxa"/>
            <w:vAlign w:val="top"/>
          </w:tcPr>
          <w:p>
            <w:pPr>
              <w:spacing w:before="62" w:line="268" w:lineRule="exact"/>
              <w:ind w:left="756"/>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2</w:t>
            </w:r>
            <w:r>
              <w:rPr>
                <w:rFonts w:ascii="Times New Roman" w:hAnsi="Times New Roman" w:eastAsia="Times New Roman" w:cs="Times New Roman"/>
                <w:position w:val="1"/>
                <w:sz w:val="20"/>
                <w:szCs w:val="20"/>
              </w:rPr>
              <w:t>.60</w:t>
            </w:r>
          </w:p>
        </w:tc>
        <w:tc>
          <w:tcPr>
            <w:tcW w:w="2105" w:type="dxa"/>
            <w:vAlign w:val="top"/>
          </w:tcPr>
          <w:p>
            <w:pPr>
              <w:spacing w:before="62" w:line="228" w:lineRule="auto"/>
              <w:ind w:left="640"/>
              <w:rPr>
                <w:rFonts w:ascii="宋体" w:hAnsi="宋体" w:eastAsia="宋体" w:cs="宋体"/>
                <w:sz w:val="20"/>
                <w:szCs w:val="20"/>
              </w:rPr>
            </w:pPr>
            <w:r>
              <w:rPr>
                <w:rFonts w:ascii="宋体" w:hAnsi="宋体" w:eastAsia="宋体" w:cs="宋体"/>
                <w:spacing w:val="7"/>
                <w:sz w:val="20"/>
                <w:szCs w:val="20"/>
              </w:rPr>
              <w:t>符合要</w:t>
            </w:r>
            <w:r>
              <w:rPr>
                <w:rFonts w:ascii="宋体" w:hAnsi="宋体" w:eastAsia="宋体" w:cs="宋体"/>
                <w:spacing w:val="6"/>
                <w:sz w:val="20"/>
                <w:szCs w:val="20"/>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55" w:type="dxa"/>
            <w:vAlign w:val="top"/>
          </w:tcPr>
          <w:p>
            <w:pPr>
              <w:spacing w:before="97" w:line="195"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712" w:type="dxa"/>
            <w:vAlign w:val="top"/>
          </w:tcPr>
          <w:p>
            <w:pPr>
              <w:spacing w:before="30" w:line="274" w:lineRule="exact"/>
              <w:ind w:left="467"/>
              <w:rPr>
                <w:rFonts w:ascii="宋体" w:hAnsi="宋体" w:eastAsia="宋体" w:cs="宋体"/>
                <w:sz w:val="20"/>
                <w:szCs w:val="20"/>
              </w:rPr>
            </w:pPr>
            <w:r>
              <w:rPr>
                <w:rFonts w:ascii="宋体" w:hAnsi="宋体" w:eastAsia="宋体" w:cs="宋体"/>
                <w:spacing w:val="-1"/>
                <w:position w:val="2"/>
                <w:sz w:val="20"/>
                <w:szCs w:val="20"/>
              </w:rPr>
              <w:t xml:space="preserve">堆积密度 </w:t>
            </w:r>
            <w:r>
              <w:rPr>
                <w:rFonts w:ascii="宋体" w:hAnsi="宋体" w:eastAsia="宋体" w:cs="宋体"/>
                <w:position w:val="2"/>
                <w:sz w:val="20"/>
                <w:szCs w:val="20"/>
              </w:rPr>
              <w:t>(</w:t>
            </w:r>
            <w:r>
              <w:rPr>
                <w:rFonts w:ascii="Times New Roman" w:hAnsi="Times New Roman" w:eastAsia="Times New Roman" w:cs="Times New Roman"/>
                <w:position w:val="2"/>
                <w:sz w:val="20"/>
                <w:szCs w:val="20"/>
              </w:rPr>
              <w:t>g/cm</w:t>
            </w:r>
            <w:r>
              <w:rPr>
                <w:rFonts w:ascii="宋体" w:hAnsi="宋体" w:eastAsia="宋体" w:cs="宋体"/>
                <w:position w:val="2"/>
                <w:sz w:val="20"/>
                <w:szCs w:val="20"/>
              </w:rPr>
              <w:t>³ )</w:t>
            </w:r>
          </w:p>
        </w:tc>
        <w:tc>
          <w:tcPr>
            <w:tcW w:w="2141" w:type="dxa"/>
            <w:vAlign w:val="top"/>
          </w:tcPr>
          <w:p>
            <w:pPr>
              <w:spacing w:before="61" w:line="265" w:lineRule="exact"/>
              <w:ind w:left="831"/>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 xml:space="preserve">1 </w:t>
            </w:r>
            <w:r>
              <w:rPr>
                <w:rFonts w:ascii="宋体" w:hAnsi="宋体" w:eastAsia="宋体" w:cs="宋体"/>
                <w:spacing w:val="-10"/>
                <w:position w:val="1"/>
                <w:sz w:val="20"/>
                <w:szCs w:val="20"/>
              </w:rPr>
              <w:t>．</w:t>
            </w:r>
            <w:r>
              <w:rPr>
                <w:rFonts w:ascii="Times New Roman" w:hAnsi="Times New Roman" w:eastAsia="Times New Roman" w:cs="Times New Roman"/>
                <w:spacing w:val="-10"/>
                <w:position w:val="1"/>
                <w:sz w:val="20"/>
                <w:szCs w:val="20"/>
              </w:rPr>
              <w:t>86</w:t>
            </w:r>
          </w:p>
        </w:tc>
        <w:tc>
          <w:tcPr>
            <w:tcW w:w="2041" w:type="dxa"/>
            <w:vAlign w:val="top"/>
          </w:tcPr>
          <w:p>
            <w:pPr>
              <w:spacing w:before="61" w:line="267" w:lineRule="exact"/>
              <w:ind w:left="756"/>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.60</w:t>
            </w:r>
          </w:p>
        </w:tc>
        <w:tc>
          <w:tcPr>
            <w:tcW w:w="2105" w:type="dxa"/>
            <w:vAlign w:val="top"/>
          </w:tcPr>
          <w:p>
            <w:pPr>
              <w:spacing w:before="61" w:line="228" w:lineRule="auto"/>
              <w:ind w:left="640"/>
              <w:rPr>
                <w:rFonts w:ascii="宋体" w:hAnsi="宋体" w:eastAsia="宋体" w:cs="宋体"/>
                <w:sz w:val="20"/>
                <w:szCs w:val="20"/>
              </w:rPr>
            </w:pPr>
            <w:r>
              <w:rPr>
                <w:rFonts w:ascii="宋体" w:hAnsi="宋体" w:eastAsia="宋体" w:cs="宋体"/>
                <w:spacing w:val="7"/>
                <w:sz w:val="20"/>
                <w:szCs w:val="20"/>
              </w:rPr>
              <w:t>符合要</w:t>
            </w:r>
            <w:r>
              <w:rPr>
                <w:rFonts w:ascii="宋体" w:hAnsi="宋体" w:eastAsia="宋体" w:cs="宋体"/>
                <w:spacing w:val="6"/>
                <w:sz w:val="20"/>
                <w:szCs w:val="20"/>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55" w:type="dxa"/>
            <w:vAlign w:val="top"/>
          </w:tcPr>
          <w:p>
            <w:pPr>
              <w:spacing w:before="99"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712" w:type="dxa"/>
            <w:vAlign w:val="top"/>
          </w:tcPr>
          <w:p>
            <w:pPr>
              <w:spacing w:before="32" w:line="274" w:lineRule="exact"/>
              <w:ind w:left="327"/>
              <w:rPr>
                <w:rFonts w:ascii="宋体" w:hAnsi="宋体" w:eastAsia="宋体" w:cs="宋体"/>
                <w:sz w:val="20"/>
                <w:szCs w:val="20"/>
              </w:rPr>
            </w:pPr>
            <w:r>
              <w:rPr>
                <w:rFonts w:ascii="宋体" w:hAnsi="宋体" w:eastAsia="宋体" w:cs="宋体"/>
                <w:spacing w:val="9"/>
                <w:position w:val="1"/>
                <w:sz w:val="20"/>
                <w:szCs w:val="20"/>
              </w:rPr>
              <w:t>针</w:t>
            </w:r>
            <w:r>
              <w:rPr>
                <w:rFonts w:ascii="宋体" w:hAnsi="宋体" w:eastAsia="宋体" w:cs="宋体"/>
                <w:spacing w:val="7"/>
                <w:position w:val="1"/>
                <w:sz w:val="20"/>
                <w:szCs w:val="20"/>
              </w:rPr>
              <w:t>片状颗粒含量 (</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w:t>
            </w:r>
          </w:p>
        </w:tc>
        <w:tc>
          <w:tcPr>
            <w:tcW w:w="2141" w:type="dxa"/>
            <w:vAlign w:val="top"/>
          </w:tcPr>
          <w:p>
            <w:pPr>
              <w:spacing w:before="99" w:line="198" w:lineRule="auto"/>
              <w:ind w:left="9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2.0</w:t>
            </w:r>
          </w:p>
        </w:tc>
        <w:tc>
          <w:tcPr>
            <w:tcW w:w="2041" w:type="dxa"/>
            <w:vAlign w:val="top"/>
          </w:tcPr>
          <w:p>
            <w:pPr>
              <w:spacing w:before="63" w:line="265" w:lineRule="exact"/>
              <w:ind w:left="832"/>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15</w:t>
            </w:r>
          </w:p>
        </w:tc>
        <w:tc>
          <w:tcPr>
            <w:tcW w:w="2105" w:type="dxa"/>
            <w:vAlign w:val="top"/>
          </w:tcPr>
          <w:p>
            <w:pPr>
              <w:spacing w:before="63" w:line="228" w:lineRule="auto"/>
              <w:ind w:left="640"/>
              <w:rPr>
                <w:rFonts w:ascii="宋体" w:hAnsi="宋体" w:eastAsia="宋体" w:cs="宋体"/>
                <w:sz w:val="20"/>
                <w:szCs w:val="20"/>
              </w:rPr>
            </w:pPr>
            <w:r>
              <w:rPr>
                <w:rFonts w:ascii="宋体" w:hAnsi="宋体" w:eastAsia="宋体" w:cs="宋体"/>
                <w:spacing w:val="7"/>
                <w:sz w:val="20"/>
                <w:szCs w:val="20"/>
              </w:rPr>
              <w:t>符合要</w:t>
            </w:r>
            <w:r>
              <w:rPr>
                <w:rFonts w:ascii="宋体" w:hAnsi="宋体" w:eastAsia="宋体" w:cs="宋体"/>
                <w:spacing w:val="6"/>
                <w:sz w:val="20"/>
                <w:szCs w:val="20"/>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55" w:type="dxa"/>
            <w:vAlign w:val="top"/>
          </w:tcPr>
          <w:p>
            <w:pPr>
              <w:spacing w:before="101" w:line="192" w:lineRule="auto"/>
              <w:ind w:left="3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712" w:type="dxa"/>
            <w:vAlign w:val="top"/>
          </w:tcPr>
          <w:p>
            <w:pPr>
              <w:spacing w:before="32" w:line="274" w:lineRule="exact"/>
              <w:ind w:left="435"/>
              <w:rPr>
                <w:rFonts w:ascii="宋体" w:hAnsi="宋体" w:eastAsia="宋体" w:cs="宋体"/>
                <w:sz w:val="20"/>
                <w:szCs w:val="20"/>
              </w:rPr>
            </w:pPr>
            <w:r>
              <w:rPr>
                <w:rFonts w:ascii="宋体" w:hAnsi="宋体" w:eastAsia="宋体" w:cs="宋体"/>
                <w:spacing w:val="11"/>
                <w:position w:val="1"/>
                <w:sz w:val="20"/>
                <w:szCs w:val="20"/>
              </w:rPr>
              <w:t>软</w:t>
            </w:r>
            <w:r>
              <w:rPr>
                <w:rFonts w:ascii="宋体" w:hAnsi="宋体" w:eastAsia="宋体" w:cs="宋体"/>
                <w:spacing w:val="6"/>
                <w:position w:val="1"/>
                <w:sz w:val="20"/>
                <w:szCs w:val="20"/>
              </w:rPr>
              <w:t>弱颗粒含量 (</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w:t>
            </w:r>
          </w:p>
        </w:tc>
        <w:tc>
          <w:tcPr>
            <w:tcW w:w="2141" w:type="dxa"/>
            <w:vAlign w:val="top"/>
          </w:tcPr>
          <w:p>
            <w:pPr>
              <w:spacing w:before="98" w:line="198" w:lineRule="auto"/>
              <w:ind w:left="93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4.5</w:t>
            </w:r>
          </w:p>
        </w:tc>
        <w:tc>
          <w:tcPr>
            <w:tcW w:w="2041" w:type="dxa"/>
            <w:vAlign w:val="top"/>
          </w:tcPr>
          <w:p>
            <w:pPr>
              <w:spacing w:before="63" w:line="265" w:lineRule="exact"/>
              <w:ind w:left="885"/>
              <w:rPr>
                <w:rFonts w:ascii="Times New Roman" w:hAnsi="Times New Roman" w:eastAsia="Times New Roman" w:cs="Times New Roman"/>
                <w:sz w:val="20"/>
                <w:szCs w:val="20"/>
              </w:rPr>
            </w:pPr>
            <w:r>
              <w:rPr>
                <w:rFonts w:ascii="宋体" w:hAnsi="宋体" w:eastAsia="宋体" w:cs="宋体"/>
                <w:spacing w:val="-4"/>
                <w:position w:val="1"/>
                <w:sz w:val="20"/>
                <w:szCs w:val="20"/>
              </w:rPr>
              <w:t>＜</w:t>
            </w:r>
            <w:r>
              <w:rPr>
                <w:rFonts w:ascii="Times New Roman" w:hAnsi="Times New Roman" w:eastAsia="Times New Roman" w:cs="Times New Roman"/>
                <w:spacing w:val="-4"/>
                <w:position w:val="1"/>
                <w:sz w:val="20"/>
                <w:szCs w:val="20"/>
              </w:rPr>
              <w:t>5</w:t>
            </w:r>
          </w:p>
        </w:tc>
        <w:tc>
          <w:tcPr>
            <w:tcW w:w="2105" w:type="dxa"/>
            <w:vAlign w:val="top"/>
          </w:tcPr>
          <w:p>
            <w:pPr>
              <w:spacing w:before="63" w:line="228" w:lineRule="auto"/>
              <w:ind w:left="640"/>
              <w:rPr>
                <w:rFonts w:ascii="宋体" w:hAnsi="宋体" w:eastAsia="宋体" w:cs="宋体"/>
                <w:sz w:val="20"/>
                <w:szCs w:val="20"/>
              </w:rPr>
            </w:pPr>
            <w:r>
              <w:rPr>
                <w:rFonts w:ascii="宋体" w:hAnsi="宋体" w:eastAsia="宋体" w:cs="宋体"/>
                <w:spacing w:val="7"/>
                <w:sz w:val="20"/>
                <w:szCs w:val="20"/>
              </w:rPr>
              <w:t>符合要</w:t>
            </w:r>
            <w:r>
              <w:rPr>
                <w:rFonts w:ascii="宋体" w:hAnsi="宋体" w:eastAsia="宋体" w:cs="宋体"/>
                <w:spacing w:val="6"/>
                <w:sz w:val="20"/>
                <w:szCs w:val="20"/>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55" w:type="dxa"/>
            <w:vAlign w:val="top"/>
          </w:tcPr>
          <w:p>
            <w:pPr>
              <w:spacing w:before="104" w:line="192"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712" w:type="dxa"/>
            <w:vAlign w:val="top"/>
          </w:tcPr>
          <w:p>
            <w:pPr>
              <w:spacing w:before="34" w:line="274" w:lineRule="exact"/>
              <w:ind w:left="748"/>
              <w:rPr>
                <w:rFonts w:ascii="宋体" w:hAnsi="宋体" w:eastAsia="宋体" w:cs="宋体"/>
                <w:sz w:val="20"/>
                <w:szCs w:val="20"/>
              </w:rPr>
            </w:pPr>
            <w:r>
              <w:rPr>
                <w:rFonts w:ascii="宋体" w:hAnsi="宋体" w:eastAsia="宋体" w:cs="宋体"/>
                <w:spacing w:val="8"/>
                <w:position w:val="1"/>
                <w:sz w:val="20"/>
                <w:szCs w:val="20"/>
              </w:rPr>
              <w:t>孔</w:t>
            </w:r>
            <w:r>
              <w:rPr>
                <w:rFonts w:ascii="宋体" w:hAnsi="宋体" w:eastAsia="宋体" w:cs="宋体"/>
                <w:spacing w:val="5"/>
                <w:position w:val="1"/>
                <w:sz w:val="20"/>
                <w:szCs w:val="20"/>
              </w:rPr>
              <w:t>隙率 (</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w:t>
            </w:r>
          </w:p>
        </w:tc>
        <w:tc>
          <w:tcPr>
            <w:tcW w:w="2141" w:type="dxa"/>
            <w:vAlign w:val="top"/>
          </w:tcPr>
          <w:p>
            <w:pPr>
              <w:spacing w:before="101" w:line="195" w:lineRule="auto"/>
              <w:ind w:left="8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w:t>
            </w:r>
            <w:r>
              <w:rPr>
                <w:rFonts w:ascii="Times New Roman" w:hAnsi="Times New Roman" w:eastAsia="Times New Roman" w:cs="Times New Roman"/>
                <w:spacing w:val="2"/>
                <w:sz w:val="20"/>
                <w:szCs w:val="20"/>
              </w:rPr>
              <w:t>0</w:t>
            </w:r>
          </w:p>
        </w:tc>
        <w:tc>
          <w:tcPr>
            <w:tcW w:w="2041" w:type="dxa"/>
            <w:vAlign w:val="top"/>
          </w:tcPr>
          <w:p>
            <w:pPr>
              <w:spacing w:before="65" w:line="265" w:lineRule="exact"/>
              <w:ind w:left="832"/>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45</w:t>
            </w:r>
          </w:p>
        </w:tc>
        <w:tc>
          <w:tcPr>
            <w:tcW w:w="2105" w:type="dxa"/>
            <w:vAlign w:val="top"/>
          </w:tcPr>
          <w:p>
            <w:pPr>
              <w:spacing w:before="65" w:line="228" w:lineRule="auto"/>
              <w:ind w:left="640"/>
              <w:rPr>
                <w:rFonts w:ascii="宋体" w:hAnsi="宋体" w:eastAsia="宋体" w:cs="宋体"/>
                <w:sz w:val="20"/>
                <w:szCs w:val="20"/>
              </w:rPr>
            </w:pPr>
            <w:r>
              <w:rPr>
                <w:rFonts w:ascii="宋体" w:hAnsi="宋体" w:eastAsia="宋体" w:cs="宋体"/>
                <w:spacing w:val="7"/>
                <w:sz w:val="20"/>
                <w:szCs w:val="20"/>
              </w:rPr>
              <w:t>符合要</w:t>
            </w:r>
            <w:r>
              <w:rPr>
                <w:rFonts w:ascii="宋体" w:hAnsi="宋体" w:eastAsia="宋体" w:cs="宋体"/>
                <w:spacing w:val="6"/>
                <w:sz w:val="20"/>
                <w:szCs w:val="20"/>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855" w:type="dxa"/>
            <w:vAlign w:val="top"/>
          </w:tcPr>
          <w:p>
            <w:pPr>
              <w:spacing w:before="100"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712" w:type="dxa"/>
            <w:vAlign w:val="top"/>
          </w:tcPr>
          <w:p>
            <w:pPr>
              <w:spacing w:before="65" w:line="228" w:lineRule="auto"/>
              <w:ind w:left="941"/>
              <w:rPr>
                <w:rFonts w:ascii="宋体" w:hAnsi="宋体" w:eastAsia="宋体" w:cs="宋体"/>
                <w:sz w:val="20"/>
                <w:szCs w:val="20"/>
              </w:rPr>
            </w:pPr>
            <w:r>
              <w:rPr>
                <w:rFonts w:ascii="宋体" w:hAnsi="宋体" w:eastAsia="宋体" w:cs="宋体"/>
                <w:spacing w:val="8"/>
                <w:sz w:val="20"/>
                <w:szCs w:val="20"/>
              </w:rPr>
              <w:t>粒</w:t>
            </w:r>
            <w:r>
              <w:rPr>
                <w:rFonts w:ascii="宋体" w:hAnsi="宋体" w:eastAsia="宋体" w:cs="宋体"/>
                <w:spacing w:val="7"/>
                <w:sz w:val="20"/>
                <w:szCs w:val="20"/>
              </w:rPr>
              <w:t>度模数</w:t>
            </w:r>
          </w:p>
        </w:tc>
        <w:tc>
          <w:tcPr>
            <w:tcW w:w="2141" w:type="dxa"/>
            <w:vAlign w:val="top"/>
          </w:tcPr>
          <w:p>
            <w:pPr>
              <w:spacing w:before="101" w:line="195" w:lineRule="auto"/>
              <w:ind w:left="8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w:t>
            </w:r>
            <w:r>
              <w:rPr>
                <w:rFonts w:ascii="Times New Roman" w:hAnsi="Times New Roman" w:eastAsia="Times New Roman" w:cs="Times New Roman"/>
                <w:spacing w:val="1"/>
                <w:sz w:val="20"/>
                <w:szCs w:val="20"/>
              </w:rPr>
              <w:t>9</w:t>
            </w:r>
          </w:p>
        </w:tc>
        <w:tc>
          <w:tcPr>
            <w:tcW w:w="2041" w:type="dxa"/>
            <w:vAlign w:val="top"/>
          </w:tcPr>
          <w:p>
            <w:pPr>
              <w:spacing w:before="65" w:line="265" w:lineRule="exact"/>
              <w:ind w:left="556"/>
              <w:rPr>
                <w:rFonts w:ascii="Times New Roman" w:hAnsi="Times New Roman" w:eastAsia="Times New Roman" w:cs="Times New Roman"/>
                <w:sz w:val="20"/>
                <w:szCs w:val="20"/>
              </w:rPr>
            </w:pPr>
            <w:r>
              <w:rPr>
                <w:rFonts w:ascii="Times New Roman" w:hAnsi="Times New Roman" w:eastAsia="Times New Roman" w:cs="Times New Roman"/>
                <w:spacing w:val="15"/>
                <w:sz w:val="20"/>
                <w:szCs w:val="20"/>
              </w:rPr>
              <w:t>6.25</w:t>
            </w:r>
            <w:r>
              <w:rPr>
                <w:rFonts w:ascii="宋体" w:hAnsi="宋体" w:eastAsia="宋体" w:cs="宋体"/>
                <w:spacing w:val="15"/>
                <w:sz w:val="20"/>
                <w:szCs w:val="20"/>
              </w:rPr>
              <w:t>~</w:t>
            </w:r>
            <w:r>
              <w:rPr>
                <w:rFonts w:ascii="Times New Roman" w:hAnsi="Times New Roman" w:eastAsia="Times New Roman" w:cs="Times New Roman"/>
                <w:spacing w:val="15"/>
                <w:sz w:val="20"/>
                <w:szCs w:val="20"/>
              </w:rPr>
              <w:t>8.30</w:t>
            </w:r>
          </w:p>
        </w:tc>
        <w:tc>
          <w:tcPr>
            <w:tcW w:w="2105" w:type="dxa"/>
            <w:vAlign w:val="top"/>
          </w:tcPr>
          <w:p>
            <w:pPr>
              <w:spacing w:before="65" w:line="228" w:lineRule="auto"/>
              <w:ind w:left="640"/>
              <w:rPr>
                <w:rFonts w:ascii="宋体" w:hAnsi="宋体" w:eastAsia="宋体" w:cs="宋体"/>
                <w:sz w:val="20"/>
                <w:szCs w:val="20"/>
              </w:rPr>
            </w:pPr>
            <w:r>
              <w:rPr>
                <w:rFonts w:ascii="宋体" w:hAnsi="宋体" w:eastAsia="宋体" w:cs="宋体"/>
                <w:spacing w:val="7"/>
                <w:sz w:val="20"/>
                <w:szCs w:val="20"/>
              </w:rPr>
              <w:t>符合要</w:t>
            </w:r>
            <w:r>
              <w:rPr>
                <w:rFonts w:ascii="宋体" w:hAnsi="宋体" w:eastAsia="宋体" w:cs="宋体"/>
                <w:spacing w:val="6"/>
                <w:sz w:val="20"/>
                <w:szCs w:val="20"/>
              </w:rPr>
              <w:t>求</w:t>
            </w:r>
          </w:p>
        </w:tc>
      </w:tr>
    </w:tbl>
    <w:p>
      <w:pPr>
        <w:spacing w:line="149" w:lineRule="exact"/>
      </w:pPr>
    </w:p>
    <w:p>
      <w:pPr>
        <w:keepNext w:val="0"/>
        <w:keepLines w:val="0"/>
        <w:pageBreakBefore w:val="0"/>
        <w:widowControl w:val="0"/>
        <w:kinsoku/>
        <w:wordWrap/>
        <w:overflowPunct/>
        <w:topLinePunct w:val="0"/>
        <w:autoSpaceDE/>
        <w:autoSpaceDN/>
        <w:bidi w:val="0"/>
        <w:adjustRightInd/>
        <w:snapToGrid/>
        <w:spacing w:line="360" w:lineRule="auto"/>
        <w:ind w:right="62" w:firstLine="560" w:firstLineChars="200"/>
        <w:textAlignment w:val="auto"/>
        <w:rPr>
          <w:rFonts w:hint="eastAsia" w:ascii="宋体" w:hAnsi="宋体" w:eastAsia="宋体" w:cs="宋体"/>
          <w:kern w:val="2"/>
          <w:sz w:val="28"/>
          <w:szCs w:val="22"/>
          <w:lang w:val="en-US" w:eastAsia="zh-CN" w:bidi="ar-SA"/>
        </w:rPr>
        <w:sectPr>
          <w:headerReference r:id="rId10" w:type="default"/>
          <w:footerReference r:id="rId11" w:type="default"/>
          <w:pgSz w:w="11906" w:h="16839"/>
          <w:pgMar w:top="1440" w:right="1800" w:bottom="1440" w:left="1800" w:header="680" w:footer="680" w:gutter="0"/>
          <w:pgBorders>
            <w:top w:val="none" w:sz="0" w:space="0"/>
            <w:left w:val="none" w:sz="0" w:space="0"/>
            <w:bottom w:val="none" w:sz="0" w:space="0"/>
            <w:right w:val="none" w:sz="0" w:space="0"/>
          </w:pgBorders>
          <w:pgNumType w:fmt="decimal" w:start="1"/>
          <w:cols w:space="720" w:num="1"/>
        </w:sectPr>
      </w:pPr>
      <w:r>
        <w:rPr>
          <w:rFonts w:hint="eastAsia" w:ascii="宋体" w:hAnsi="宋体" w:eastAsia="宋体" w:cs="宋体"/>
          <w:kern w:val="2"/>
          <w:sz w:val="28"/>
          <w:szCs w:val="22"/>
          <w:lang w:val="en-US" w:eastAsia="zh-CN" w:bidi="ar-SA"/>
        </w:rPr>
        <w:t>综合混凝土用粗、细骨料的评价和土工试验可知，该成品料细砂为级配不良砂，各项质 量指标符合混凝土用细骨料要求；砾石为级配不良砾，各项质量指标符合混凝土用粗骨料要求。</w:t>
      </w:r>
    </w:p>
    <w:bookmarkEnd w:id="94"/>
    <w:p>
      <w:pPr>
        <w:pStyle w:val="3"/>
        <w:pageBreakBefore w:val="0"/>
        <w:widowControl w:val="0"/>
        <w:kinsoku/>
        <w:wordWrap/>
        <w:overflowPunct/>
        <w:topLinePunct w:val="0"/>
        <w:bidi w:val="0"/>
        <w:adjustRightInd w:val="0"/>
        <w:snapToGrid w:val="0"/>
        <w:spacing w:before="0" w:after="0" w:line="360" w:lineRule="auto"/>
        <w:jc w:val="center"/>
        <w:textAlignment w:val="auto"/>
        <w:rPr>
          <w:rFonts w:hint="eastAsia" w:ascii="宋体" w:hAnsi="宋体" w:eastAsia="宋体" w:cs="宋体"/>
          <w:color w:val="000000" w:themeColor="text1"/>
          <w14:textFill>
            <w14:solidFill>
              <w14:schemeClr w14:val="tx1"/>
            </w14:solidFill>
          </w14:textFill>
        </w:rPr>
      </w:pPr>
      <w:bookmarkStart w:id="101" w:name="_Toc19050"/>
      <w:bookmarkStart w:id="102" w:name="_Toc6189"/>
      <w:bookmarkStart w:id="103" w:name="_Toc475110645"/>
      <w:bookmarkStart w:id="104" w:name="_Toc24616_WPSOffice_Level1"/>
      <w:bookmarkStart w:id="105" w:name="_Toc479707416"/>
      <w:bookmarkStart w:id="106" w:name="_Toc15432"/>
      <w:r>
        <w:rPr>
          <w:rFonts w:hint="eastAsia" w:ascii="宋体" w:hAnsi="宋体" w:eastAsia="宋体" w:cs="宋体"/>
          <w:color w:val="000000" w:themeColor="text1"/>
          <w14:textFill>
            <w14:solidFill>
              <w14:schemeClr w14:val="tx1"/>
            </w14:solidFill>
          </w14:textFill>
        </w:rPr>
        <w:t>第</w:t>
      </w:r>
      <w:r>
        <w:rPr>
          <w:rFonts w:hint="eastAsia" w:ascii="宋体" w:hAnsi="宋体" w:cs="宋体"/>
          <w:color w:val="000000" w:themeColor="text1"/>
          <w:lang w:val="en-US" w:eastAsia="zh-CN"/>
          <w14:textFill>
            <w14:solidFill>
              <w14:schemeClr w14:val="tx1"/>
            </w14:solidFill>
          </w14:textFill>
        </w:rPr>
        <w:t>四</w:t>
      </w:r>
      <w:r>
        <w:rPr>
          <w:rFonts w:hint="eastAsia" w:ascii="宋体" w:hAnsi="宋体" w:eastAsia="宋体" w:cs="宋体"/>
          <w:color w:val="000000" w:themeColor="text1"/>
          <w14:textFill>
            <w14:solidFill>
              <w14:schemeClr w14:val="tx1"/>
            </w14:solidFill>
          </w14:textFill>
        </w:rPr>
        <w:t>章  工程建设方案</w:t>
      </w:r>
      <w:bookmarkEnd w:id="101"/>
      <w:bookmarkEnd w:id="102"/>
      <w:bookmarkEnd w:id="103"/>
      <w:bookmarkEnd w:id="104"/>
      <w:bookmarkEnd w:id="105"/>
      <w:bookmarkEnd w:id="106"/>
    </w:p>
    <w:p>
      <w:pPr>
        <w:pageBreakBefore w:val="0"/>
        <w:numPr>
          <w:ilvl w:val="0"/>
          <w:numId w:val="0"/>
        </w:numPr>
        <w:kinsoku/>
        <w:overflowPunct/>
        <w:bidi w:val="0"/>
        <w:spacing w:line="360" w:lineRule="auto"/>
        <w:ind w:firstLine="560" w:firstLineChars="200"/>
        <w:rPr>
          <w:rFonts w:hint="eastAsia" w:eastAsia="宋体"/>
          <w:lang w:val="en-US" w:eastAsia="zh-CN"/>
        </w:rPr>
      </w:pPr>
      <w:bookmarkStart w:id="107" w:name="_Toc29575_WPSOffice_Level2"/>
      <w:bookmarkStart w:id="108" w:name="_Toc19302"/>
      <w:bookmarkStart w:id="109" w:name="_Toc478464838"/>
      <w:bookmarkStart w:id="110" w:name="_Toc478752549"/>
    </w:p>
    <w:p>
      <w:pPr>
        <w:pStyle w:val="4"/>
        <w:bidi w:val="0"/>
        <w:rPr>
          <w:rFonts w:hint="default"/>
          <w:lang w:val="en-US"/>
        </w:rPr>
      </w:pPr>
      <w:bookmarkStart w:id="111" w:name="_Toc12344"/>
      <w:bookmarkStart w:id="112" w:name="_Toc10354"/>
      <w:r>
        <w:rPr>
          <w:rFonts w:hint="eastAsia"/>
          <w:lang w:val="en-US" w:eastAsia="zh-CN"/>
        </w:rPr>
        <w:t>4.1</w:t>
      </w:r>
      <w:bookmarkEnd w:id="111"/>
      <w:r>
        <w:rPr>
          <w:rFonts w:hint="eastAsia"/>
          <w:lang w:val="en-US" w:eastAsia="zh-CN"/>
        </w:rPr>
        <w:t>管网设计</w:t>
      </w:r>
      <w:bookmarkEnd w:id="112"/>
    </w:p>
    <w:p>
      <w:pPr>
        <w:bidi w:val="0"/>
        <w:ind w:firstLine="560" w:firstLineChars="200"/>
        <w:rPr>
          <w:rFonts w:hint="eastAsia"/>
          <w:lang w:val="en-US" w:eastAsia="zh-CN"/>
        </w:rPr>
      </w:pPr>
      <w:bookmarkStart w:id="113" w:name="_Toc183"/>
      <w:bookmarkStart w:id="114" w:name="_Toc432411033"/>
      <w:bookmarkStart w:id="115" w:name="_Toc514347139"/>
      <w:r>
        <w:rPr>
          <w:rFonts w:hint="eastAsia"/>
          <w:lang w:val="en-US" w:eastAsia="zh-CN"/>
        </w:rPr>
        <w:t>排水管网按远期设计水量50立方米/日的最大时流量(即最大秒流量为 1.15升/秒)，由于村内存在多重不确定因素，牲畜较多，主管管径为 DN300，支管管径为DN200。</w:t>
      </w:r>
    </w:p>
    <w:p>
      <w:pPr>
        <w:bidi w:val="0"/>
        <w:ind w:firstLine="560" w:firstLineChars="200"/>
        <w:rPr>
          <w:rFonts w:hint="eastAsia"/>
          <w:lang w:val="en-US" w:eastAsia="zh-CN"/>
        </w:rPr>
      </w:pPr>
      <w:r>
        <w:rPr>
          <w:rFonts w:hint="eastAsia"/>
          <w:lang w:val="en-US" w:eastAsia="zh-CN"/>
        </w:rPr>
        <w:t>排水系统布局考虑充分利用地形，根据总体规划要求，按照地形特点来布置排水干管。地势东高西低，北高南低。</w:t>
      </w:r>
    </w:p>
    <w:p>
      <w:pPr>
        <w:bidi w:val="0"/>
        <w:ind w:firstLine="560" w:firstLineChars="200"/>
        <w:rPr>
          <w:rFonts w:hint="eastAsia"/>
          <w:lang w:val="en-US" w:eastAsia="zh-CN"/>
        </w:rPr>
      </w:pPr>
      <w:r>
        <w:rPr>
          <w:rFonts w:hint="eastAsia"/>
          <w:lang w:val="en-US" w:eastAsia="zh-CN"/>
        </w:rPr>
        <w:t>为保证排水工程质量优化排水方案，尽可能的减少埋深，降低工程的造价和减少今后的施工难度。</w:t>
      </w:r>
    </w:p>
    <w:p>
      <w:pPr>
        <w:bidi w:val="0"/>
        <w:ind w:firstLine="560" w:firstLineChars="200"/>
        <w:rPr>
          <w:rFonts w:hint="eastAsia"/>
          <w:lang w:val="en-US" w:eastAsia="zh-CN"/>
        </w:rPr>
      </w:pPr>
      <w:r>
        <w:rPr>
          <w:rFonts w:hint="eastAsia"/>
          <w:lang w:val="en-US" w:eastAsia="zh-CN"/>
        </w:rPr>
        <w:t>管网末点接入50m³/d污水处理设备，该系统处理污水为居民生活污水，出水排放标准执行出水执行新疆维吾尔自治区地方标准《农村生活污水处理排放标准》(DB654275-2019)规定的一级标准。</w:t>
      </w:r>
    </w:p>
    <w:p>
      <w:pPr>
        <w:bidi w:val="0"/>
        <w:rPr>
          <w:rFonts w:hint="eastAsia"/>
          <w:lang w:val="en-US" w:eastAsia="zh-CN"/>
        </w:rPr>
      </w:pPr>
      <w:r>
        <w:rPr>
          <w:rFonts w:hint="eastAsia"/>
          <w:lang w:val="en-US" w:eastAsia="zh-CN"/>
        </w:rPr>
        <w:t>4.1.1 排水管道的走向</w:t>
      </w:r>
    </w:p>
    <w:p>
      <w:pPr>
        <w:bidi w:val="0"/>
        <w:ind w:firstLine="560" w:firstLineChars="200"/>
        <w:rPr>
          <w:rFonts w:hint="eastAsia"/>
          <w:lang w:val="en-US" w:eastAsia="zh-CN"/>
        </w:rPr>
      </w:pPr>
      <w:r>
        <w:rPr>
          <w:rFonts w:hint="eastAsia"/>
          <w:lang w:val="en-US" w:eastAsia="zh-CN"/>
        </w:rPr>
        <w:t>东西走向的排水管道布置在道路的的北侧。南北走向的排水管道布置住户院内，减少路面恢复。</w:t>
      </w:r>
    </w:p>
    <w:p>
      <w:pPr>
        <w:bidi w:val="0"/>
        <w:rPr>
          <w:rFonts w:hint="eastAsia"/>
          <w:lang w:val="en-US" w:eastAsia="zh-CN"/>
        </w:rPr>
      </w:pPr>
      <w:r>
        <w:rPr>
          <w:rFonts w:hint="eastAsia"/>
          <w:lang w:val="en-US" w:eastAsia="zh-CN"/>
        </w:rPr>
        <w:t>4.1.2 排水干管的埋设深度</w:t>
      </w:r>
    </w:p>
    <w:p>
      <w:pPr>
        <w:bidi w:val="0"/>
        <w:ind w:firstLine="560" w:firstLineChars="200"/>
        <w:rPr>
          <w:rFonts w:hint="eastAsia"/>
          <w:lang w:val="en-US" w:eastAsia="zh-CN"/>
        </w:rPr>
      </w:pPr>
      <w:r>
        <w:rPr>
          <w:rFonts w:hint="eastAsia"/>
          <w:lang w:val="en-US" w:eastAsia="zh-CN"/>
        </w:rPr>
        <w:t>排水主干管的埋设深度起点应保证用户最小排放埋深，终点深度由水力坡度重力流确定，确定主管管顶覆土为2.0米，支管管顶覆土为1.9米。</w:t>
      </w:r>
    </w:p>
    <w:p>
      <w:pPr>
        <w:bidi w:val="0"/>
        <w:rPr>
          <w:rFonts w:hint="eastAsia"/>
          <w:lang w:val="en-US" w:eastAsia="zh-CN"/>
        </w:rPr>
      </w:pPr>
      <w:r>
        <w:rPr>
          <w:rFonts w:hint="eastAsia"/>
          <w:lang w:val="en-US" w:eastAsia="zh-CN"/>
        </w:rPr>
        <w:t>4.1.3 排水管道的基础处理</w:t>
      </w:r>
    </w:p>
    <w:p>
      <w:pPr>
        <w:bidi w:val="0"/>
        <w:ind w:firstLine="560" w:firstLineChars="200"/>
        <w:rPr>
          <w:rFonts w:hint="eastAsia"/>
          <w:lang w:val="en-US" w:eastAsia="zh-CN"/>
        </w:rPr>
      </w:pPr>
      <w:r>
        <w:rPr>
          <w:rFonts w:hint="eastAsia"/>
          <w:lang w:val="en-US" w:eastAsia="zh-CN"/>
        </w:rPr>
        <w:t>在施工时，管道基础采用粗砂垫层基础，厚度为100mm，砂垫层的密实度不小于95%。</w:t>
      </w:r>
    </w:p>
    <w:p>
      <w:pPr>
        <w:bidi w:val="0"/>
        <w:rPr>
          <w:rFonts w:hint="eastAsia"/>
          <w:lang w:val="en-US" w:eastAsia="zh-CN"/>
        </w:rPr>
      </w:pPr>
      <w:r>
        <w:rPr>
          <w:rFonts w:hint="eastAsia"/>
          <w:lang w:val="en-US" w:eastAsia="zh-CN"/>
        </w:rPr>
        <w:t>4.1.4排水管道的接口形式及检查井</w:t>
      </w:r>
    </w:p>
    <w:p>
      <w:pPr>
        <w:bidi w:val="0"/>
        <w:rPr>
          <w:rFonts w:hint="eastAsia"/>
          <w:lang w:val="en-US" w:eastAsia="zh-CN"/>
        </w:rPr>
      </w:pPr>
      <w:r>
        <w:rPr>
          <w:rFonts w:hint="eastAsia"/>
          <w:lang w:val="en-US" w:eastAsia="zh-CN"/>
        </w:rPr>
        <w:t>(一)排水管道的接口形式</w:t>
      </w:r>
    </w:p>
    <w:p>
      <w:pPr>
        <w:bidi w:val="0"/>
        <w:rPr>
          <w:rFonts w:hint="eastAsia"/>
          <w:lang w:val="en-US" w:eastAsia="zh-CN"/>
        </w:rPr>
      </w:pPr>
      <w:r>
        <w:rPr>
          <w:rFonts w:hint="eastAsia"/>
          <w:lang w:val="en-US" w:eastAsia="zh-CN"/>
        </w:rPr>
        <w:t>HDPE 排水管采用橡胶圈接口。</w:t>
      </w:r>
    </w:p>
    <w:p>
      <w:pPr>
        <w:bidi w:val="0"/>
        <w:rPr>
          <w:rFonts w:hint="eastAsia"/>
          <w:lang w:val="en-US" w:eastAsia="zh-CN"/>
        </w:rPr>
      </w:pPr>
      <w:r>
        <w:rPr>
          <w:rFonts w:hint="eastAsia"/>
          <w:lang w:val="en-US" w:eastAsia="zh-CN"/>
        </w:rPr>
        <w:t>(二)检查井</w:t>
      </w:r>
    </w:p>
    <w:p>
      <w:pPr>
        <w:bidi w:val="0"/>
        <w:ind w:firstLine="560" w:firstLineChars="200"/>
        <w:rPr>
          <w:rFonts w:hint="eastAsia"/>
          <w:lang w:val="en-US" w:eastAsia="zh-CN"/>
        </w:rPr>
      </w:pPr>
      <w:r>
        <w:rPr>
          <w:rFonts w:hint="eastAsia"/>
          <w:lang w:val="en-US" w:eastAsia="zh-CN"/>
        </w:rPr>
        <w:t>排水检查井井室采用砖砌，井盖采用球墨铸铁井盖。在地下水位以上时，检查井内壁做防水处理。在地下水位以下时，检查井内外均做防水处理，检查井的外壁需做防腐处理。</w:t>
      </w:r>
    </w:p>
    <w:bookmarkEnd w:id="113"/>
    <w:p>
      <w:pPr>
        <w:pStyle w:val="4"/>
        <w:bidi w:val="0"/>
        <w:rPr>
          <w:rFonts w:hint="default"/>
          <w:lang w:val="en-US" w:eastAsia="zh-CN"/>
        </w:rPr>
      </w:pPr>
      <w:bookmarkStart w:id="116" w:name="_Toc25235"/>
      <w:bookmarkStart w:id="117" w:name="_Toc32080"/>
      <w:r>
        <w:rPr>
          <w:rFonts w:hint="eastAsia"/>
          <w:lang w:val="en-US" w:eastAsia="zh-CN"/>
        </w:rPr>
        <w:t>4.2 管材</w:t>
      </w:r>
      <w:bookmarkEnd w:id="116"/>
      <w:r>
        <w:rPr>
          <w:rFonts w:hint="eastAsia"/>
          <w:lang w:val="en-US" w:eastAsia="zh-CN"/>
        </w:rPr>
        <w:t>比选</w:t>
      </w:r>
      <w:bookmarkEnd w:id="117"/>
    </w:p>
    <w:p>
      <w:pPr>
        <w:bidi w:val="0"/>
        <w:rPr>
          <w:rFonts w:hint="eastAsia"/>
          <w:lang w:val="en-US" w:eastAsia="zh-CN"/>
        </w:rPr>
      </w:pPr>
      <w:r>
        <w:rPr>
          <w:rFonts w:hint="eastAsia"/>
          <w:lang w:val="en-US" w:eastAsia="zh-CN"/>
        </w:rPr>
        <w:t>一、管材选择原则</w:t>
      </w:r>
    </w:p>
    <w:p>
      <w:pPr>
        <w:bidi w:val="0"/>
        <w:rPr>
          <w:rFonts w:hint="eastAsia"/>
          <w:lang w:val="en-US" w:eastAsia="zh-CN"/>
        </w:rPr>
      </w:pPr>
      <w:r>
        <w:rPr>
          <w:rFonts w:hint="eastAsia"/>
          <w:lang w:val="en-US" w:eastAsia="zh-CN"/>
        </w:rPr>
        <w:t>（1）管材的选用应适合塔城市排水工程投资，有利于工程综合造价降低。</w:t>
      </w:r>
    </w:p>
    <w:p>
      <w:pPr>
        <w:bidi w:val="0"/>
        <w:rPr>
          <w:rFonts w:hint="eastAsia"/>
          <w:lang w:val="en-US" w:eastAsia="zh-CN"/>
        </w:rPr>
      </w:pPr>
      <w:r>
        <w:rPr>
          <w:rFonts w:hint="eastAsia"/>
          <w:lang w:val="en-US" w:eastAsia="zh-CN"/>
        </w:rPr>
        <w:t>（2）符合设计要求承压能力，具有抗外压荷载及承受内压能力。</w:t>
      </w:r>
    </w:p>
    <w:p>
      <w:pPr>
        <w:bidi w:val="0"/>
        <w:rPr>
          <w:rFonts w:hint="eastAsia"/>
          <w:lang w:val="en-US" w:eastAsia="zh-CN"/>
        </w:rPr>
      </w:pPr>
      <w:r>
        <w:rPr>
          <w:rFonts w:hint="eastAsia"/>
          <w:lang w:val="en-US" w:eastAsia="zh-CN"/>
        </w:rPr>
        <w:t>（3）方便施工，便于管道的维护。</w:t>
      </w:r>
    </w:p>
    <w:p>
      <w:pPr>
        <w:bidi w:val="0"/>
        <w:rPr>
          <w:rFonts w:hint="eastAsia"/>
          <w:lang w:val="en-US" w:eastAsia="zh-CN"/>
        </w:rPr>
      </w:pPr>
      <w:r>
        <w:rPr>
          <w:rFonts w:hint="eastAsia"/>
          <w:lang w:val="en-US" w:eastAsia="zh-CN"/>
        </w:rPr>
        <w:t>（4）适合本地区的岩土水文条件，具有长效抗腐能力，使用寿命长。（5）水力计算参数与塔城地区的自然排水坡度结合符合排水设计规范。</w:t>
      </w:r>
    </w:p>
    <w:p>
      <w:pPr>
        <w:bidi w:val="0"/>
        <w:rPr>
          <w:rFonts w:hint="eastAsia"/>
          <w:lang w:val="en-US" w:eastAsia="zh-CN"/>
        </w:rPr>
      </w:pPr>
      <w:r>
        <w:rPr>
          <w:rFonts w:hint="eastAsia"/>
          <w:lang w:val="en-US" w:eastAsia="zh-CN"/>
        </w:rPr>
        <w:t>（6）结合本地管道运输，安装等现场施工条件确定管材。</w:t>
      </w:r>
    </w:p>
    <w:p>
      <w:pPr>
        <w:bidi w:val="0"/>
        <w:rPr>
          <w:rFonts w:hint="eastAsia"/>
          <w:lang w:val="en-US" w:eastAsia="zh-CN"/>
        </w:rPr>
      </w:pPr>
      <w:r>
        <w:rPr>
          <w:rFonts w:hint="eastAsia"/>
          <w:lang w:val="en-US" w:eastAsia="zh-CN"/>
        </w:rPr>
        <w:t>二、管道材质概况</w:t>
      </w:r>
    </w:p>
    <w:p>
      <w:pPr>
        <w:bidi w:val="0"/>
        <w:rPr>
          <w:rFonts w:hint="eastAsia"/>
          <w:lang w:val="en-US" w:eastAsia="zh-CN"/>
        </w:rPr>
      </w:pPr>
      <w:r>
        <w:rPr>
          <w:rFonts w:hint="eastAsia"/>
          <w:lang w:val="en-US" w:eastAsia="zh-CN"/>
        </w:rPr>
        <w:t>目前排水管道管材选择总概括为三种：钢筋混凝土排水管和 HDPE 双壁波纹排水管，玻璃纤维增强塑料夹砂排水管。</w:t>
      </w:r>
    </w:p>
    <w:p>
      <w:pPr>
        <w:bidi w:val="0"/>
        <w:rPr>
          <w:rFonts w:hint="eastAsia"/>
          <w:lang w:val="en-US" w:eastAsia="zh-CN"/>
        </w:rPr>
      </w:pPr>
      <w:r>
        <w:rPr>
          <w:rFonts w:hint="eastAsia"/>
          <w:lang w:val="en-US" w:eastAsia="zh-CN"/>
        </w:rPr>
        <w:t>1）钢筋混凝土排水管适用于重力流段输水流量大的管道。钢筋混凝土排水管的主要抗外荷载分为I 级和II 级外压荷载系列。钢筋混凝土排水管接口形式为承插式橡胶圈接口。</w:t>
      </w:r>
    </w:p>
    <w:p>
      <w:pPr>
        <w:bidi w:val="0"/>
        <w:rPr>
          <w:rFonts w:hint="eastAsia"/>
          <w:lang w:val="en-US" w:eastAsia="zh-CN"/>
        </w:rPr>
      </w:pPr>
      <w:r>
        <w:rPr>
          <w:rFonts w:hint="eastAsia"/>
          <w:lang w:val="en-US" w:eastAsia="zh-CN"/>
        </w:rPr>
        <w:t>2）HDPE 双壁波纹排水管适用于输送低压污水。双壁波纹排水管道接口形式为承插式橡胶圈接口，管材也具有抗外压荷载能力。</w:t>
      </w:r>
    </w:p>
    <w:p>
      <w:pPr>
        <w:bidi w:val="0"/>
        <w:rPr>
          <w:rFonts w:hint="eastAsia"/>
          <w:lang w:val="en-US" w:eastAsia="zh-CN"/>
        </w:rPr>
      </w:pPr>
      <w:r>
        <w:rPr>
          <w:rFonts w:hint="eastAsia"/>
          <w:lang w:val="en-US" w:eastAsia="zh-CN"/>
        </w:rPr>
        <w:t>3）玻璃纤维增强塑料夹砂排水管既能承受内压，又能承受外压。接口形式为承插式橡胶圈接口。玻璃钢夹砂管分为缠绕制造和离心制造两种，优点是：耐腐蚀，环刚度较高，抗外压强度大，耐水压强度、抗冲击强度良好；缺点是：管壁较薄，材质不利于冬季施工。</w:t>
      </w:r>
    </w:p>
    <w:p>
      <w:pPr>
        <w:bidi w:val="0"/>
        <w:rPr>
          <w:rFonts w:hint="eastAsia"/>
          <w:lang w:val="en-US" w:eastAsia="zh-CN"/>
        </w:rPr>
      </w:pPr>
      <w:r>
        <w:rPr>
          <w:rFonts w:hint="eastAsia"/>
          <w:lang w:val="en-US" w:eastAsia="zh-CN"/>
        </w:rPr>
        <w:t>三、管材比选</w:t>
      </w:r>
    </w:p>
    <w:p>
      <w:pPr>
        <w:bidi w:val="0"/>
        <w:rPr>
          <w:rFonts w:hint="eastAsia"/>
          <w:lang w:val="en-US" w:eastAsia="zh-CN"/>
        </w:rPr>
      </w:pPr>
      <w:r>
        <w:rPr>
          <w:rFonts w:hint="eastAsia"/>
          <w:lang w:val="en-US" w:eastAsia="zh-CN"/>
        </w:rPr>
        <w:t>管材的技术性比较</w:t>
      </w:r>
    </w:p>
    <w:p>
      <w:pPr>
        <w:bidi w:val="0"/>
        <w:rPr>
          <w:rFonts w:hint="eastAsia"/>
          <w:lang w:val="en-US" w:eastAsia="zh-CN"/>
        </w:rPr>
      </w:pPr>
      <w:r>
        <w:rPr>
          <w:rFonts w:hint="eastAsia"/>
          <w:lang w:val="en-US" w:eastAsia="zh-CN"/>
        </w:rPr>
        <w:t>钢筋混凝土(Ⅱ级)排水管和HDPE 双壁波纹排水管，玻璃纤维增强塑料夹砂排水管水力参数差别大，当选用管渠流速公式V=1/n·R2/3·I1/2 时，取用不同的粗糙率，相同管径的管材过水能力及流速均相差较大。相同管径、不同管材，在同等坡降下的计算比较上排水管的管道水力计算参数选用相同条件下的运行流速及过水量及管内粗糙度。</w:t>
      </w:r>
    </w:p>
    <w:p>
      <w:pPr>
        <w:pageBreakBefore w:val="0"/>
        <w:numPr>
          <w:ilvl w:val="0"/>
          <w:numId w:val="0"/>
        </w:numPr>
        <w:kinsoku/>
        <w:overflowPunct/>
        <w:bidi w:val="0"/>
        <w:spacing w:line="360" w:lineRule="auto"/>
        <w:ind w:firstLine="560" w:firstLineChars="200"/>
        <w:rPr>
          <w:rFonts w:hint="eastAsia"/>
          <w:lang w:val="en-US" w:eastAsia="zh-CN"/>
        </w:rPr>
      </w:pPr>
      <w:r>
        <w:rPr>
          <w:rFonts w:hint="eastAsia" w:ascii="宋体" w:hAnsi="宋体" w:eastAsia="宋体" w:cs="宋体"/>
          <w:lang w:val="en-US" w:eastAsia="zh-CN"/>
        </w:rPr>
        <w:t>当 D、i、h/D 条件相同时，流速、流量值</w:t>
      </w:r>
    </w:p>
    <w:tbl>
      <w:tblPr>
        <w:tblStyle w:val="15"/>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90"/>
        <w:gridCol w:w="1190"/>
        <w:gridCol w:w="1152"/>
        <w:gridCol w:w="990"/>
        <w:gridCol w:w="1298"/>
        <w:gridCol w:w="1167"/>
        <w:gridCol w:w="13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0" w:type="auto"/>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管道材质</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管径d(mm)</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i</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h/D m</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流量 Q (l/s)</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流速（v/s）</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管内n 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0" w:type="auto"/>
            <w:vMerge w:val="restart"/>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钢筋混凝土管（Ⅱ级）</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d300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0003</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055</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2881</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072</w:t>
            </w:r>
          </w:p>
        </w:tc>
        <w:tc>
          <w:tcPr>
            <w:tcW w:w="0" w:type="auto"/>
            <w:vMerge w:val="restart"/>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n=0.014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d400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0.0015</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0.65</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56.65</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0.66</w:t>
            </w:r>
          </w:p>
        </w:tc>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d500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0.0012</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0.70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92.83</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0.63</w:t>
            </w:r>
          </w:p>
        </w:tc>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d600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0001</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070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15095</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071</w:t>
            </w:r>
          </w:p>
        </w:tc>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0" w:type="auto"/>
            <w:vMerge w:val="restart"/>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HDPE双壁波纹排水管</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d300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0.003</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0.55</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44.81</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1.12</w:t>
            </w:r>
          </w:p>
        </w:tc>
        <w:tc>
          <w:tcPr>
            <w:tcW w:w="0" w:type="auto"/>
            <w:vMerge w:val="restart"/>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n=0.009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d400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0.0015</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0.65</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88.84</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1.02</w:t>
            </w:r>
          </w:p>
        </w:tc>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d500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0.0012</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0.70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158.19</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1.08</w:t>
            </w:r>
          </w:p>
        </w:tc>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d600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0.001</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0.70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234.82</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1.11</w:t>
            </w:r>
          </w:p>
        </w:tc>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0" w:type="auto"/>
            <w:vMerge w:val="restart"/>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玻璃纤维增强塑料夹砂排水管</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d300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0.003</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0.55</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40.33</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1.01</w:t>
            </w:r>
          </w:p>
        </w:tc>
        <w:tc>
          <w:tcPr>
            <w:tcW w:w="0" w:type="auto"/>
            <w:vMerge w:val="restart"/>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n=0.01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d400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0.0015</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0.65</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79.31</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0.92</w:t>
            </w:r>
          </w:p>
        </w:tc>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d500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0.0012</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0.70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142.37</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0.97</w:t>
            </w:r>
          </w:p>
        </w:tc>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d600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0.001</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0.70</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211.33</w:t>
            </w:r>
          </w:p>
        </w:tc>
        <w:tc>
          <w:tcPr>
            <w:tcW w:w="0" w:type="auto"/>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r>
              <w:rPr>
                <w:rFonts w:hint="eastAsia" w:eastAsia="宋体"/>
                <w:sz w:val="21"/>
                <w:szCs w:val="21"/>
                <w:lang w:val="en-US" w:eastAsia="zh-CN"/>
              </w:rPr>
              <w:t>1.00</w:t>
            </w:r>
          </w:p>
        </w:tc>
        <w:tc>
          <w:tcPr>
            <w:tcW w:w="0" w:type="auto"/>
            <w:vMerge w:val="continue"/>
            <w:tcBorders>
              <w:top w:val="nil"/>
            </w:tcBorders>
          </w:tcPr>
          <w:p>
            <w:pPr>
              <w:pageBreakBefore w:val="0"/>
              <w:numPr>
                <w:ilvl w:val="0"/>
                <w:numId w:val="0"/>
              </w:numPr>
              <w:kinsoku/>
              <w:overflowPunct/>
              <w:bidi w:val="0"/>
              <w:spacing w:line="360" w:lineRule="auto"/>
              <w:ind w:firstLine="420" w:firstLineChars="200"/>
              <w:rPr>
                <w:rFonts w:hint="eastAsia" w:eastAsia="宋体"/>
                <w:sz w:val="21"/>
                <w:szCs w:val="21"/>
                <w:lang w:val="en-US" w:eastAsia="zh-CN"/>
              </w:rPr>
            </w:pPr>
          </w:p>
        </w:tc>
      </w:tr>
    </w:tbl>
    <w:p>
      <w:pPr>
        <w:pageBreakBefore w:val="0"/>
        <w:numPr>
          <w:ilvl w:val="0"/>
          <w:numId w:val="0"/>
        </w:numPr>
        <w:kinsoku/>
        <w:overflowPunct/>
        <w:bidi w:val="0"/>
        <w:spacing w:line="360" w:lineRule="auto"/>
        <w:ind w:firstLine="560" w:firstLineChars="200"/>
        <w:rPr>
          <w:rFonts w:hint="eastAsia" w:eastAsia="宋体"/>
          <w:lang w:val="en-US" w:eastAsia="zh-CN"/>
        </w:rPr>
      </w:pPr>
      <w:r>
        <w:rPr>
          <w:rFonts w:hint="eastAsia" w:eastAsia="宋体"/>
          <w:lang w:val="en-US" w:eastAsia="zh-CN"/>
        </w:rPr>
        <w:t>从上表看出：当选用不同管道n 值时，管道的流量与流速差别较大。</w:t>
      </w:r>
    </w:p>
    <w:p>
      <w:pPr>
        <w:pageBreakBefore w:val="0"/>
        <w:numPr>
          <w:ilvl w:val="0"/>
          <w:numId w:val="0"/>
        </w:numPr>
        <w:kinsoku/>
        <w:overflowPunct/>
        <w:bidi w:val="0"/>
        <w:spacing w:line="360" w:lineRule="auto"/>
        <w:ind w:firstLine="560" w:firstLineChars="200"/>
        <w:rPr>
          <w:rFonts w:hint="eastAsia" w:eastAsia="宋体"/>
          <w:lang w:val="en-US" w:eastAsia="zh-CN"/>
        </w:rPr>
      </w:pPr>
      <w:r>
        <w:rPr>
          <w:rFonts w:hint="eastAsia" w:eastAsia="宋体"/>
          <w:lang w:val="en-US" w:eastAsia="zh-CN"/>
        </w:rPr>
        <w:t>当D、i、v 取相同条件值其计算结果详见下表：</w:t>
      </w:r>
    </w:p>
    <w:p>
      <w:pPr>
        <w:pageBreakBefore w:val="0"/>
        <w:numPr>
          <w:ilvl w:val="0"/>
          <w:numId w:val="0"/>
        </w:numPr>
        <w:kinsoku/>
        <w:overflowPunct/>
        <w:bidi w:val="0"/>
        <w:spacing w:line="360" w:lineRule="auto"/>
        <w:ind w:firstLine="560" w:firstLineChars="200"/>
        <w:rPr>
          <w:rFonts w:hint="eastAsia" w:eastAsia="宋体"/>
          <w:lang w:val="en-US" w:eastAsia="zh-CN"/>
        </w:rPr>
      </w:pPr>
      <w:r>
        <w:rPr>
          <w:rFonts w:hint="eastAsia" w:eastAsia="宋体"/>
          <w:lang w:val="en-US" w:eastAsia="zh-CN"/>
        </w:rPr>
        <w:t>当 D、i、v 条件相同时，h/D 的计算值</w:t>
      </w:r>
    </w:p>
    <w:tbl>
      <w:tblPr>
        <w:tblStyle w:val="15"/>
        <w:tblW w:w="87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2"/>
        <w:gridCol w:w="1129"/>
        <w:gridCol w:w="1099"/>
        <w:gridCol w:w="896"/>
        <w:gridCol w:w="1422"/>
        <w:gridCol w:w="21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082"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管道材质</w:t>
            </w:r>
          </w:p>
        </w:tc>
        <w:tc>
          <w:tcPr>
            <w:tcW w:w="112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管径 d(mm)</w:t>
            </w:r>
          </w:p>
        </w:tc>
        <w:tc>
          <w:tcPr>
            <w:tcW w:w="109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i</w:t>
            </w:r>
          </w:p>
        </w:tc>
        <w:tc>
          <w:tcPr>
            <w:tcW w:w="896"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h/D(m)</w:t>
            </w:r>
          </w:p>
        </w:tc>
        <w:tc>
          <w:tcPr>
            <w:tcW w:w="1422"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流速（v/s）</w:t>
            </w:r>
          </w:p>
        </w:tc>
        <w:tc>
          <w:tcPr>
            <w:tcW w:w="2144"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管内n 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082" w:type="dxa"/>
            <w:vMerge w:val="restart"/>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钢筋混凝土管（Ⅱ级）</w:t>
            </w:r>
          </w:p>
        </w:tc>
        <w:tc>
          <w:tcPr>
            <w:tcW w:w="112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d300</w:t>
            </w:r>
          </w:p>
        </w:tc>
        <w:tc>
          <w:tcPr>
            <w:tcW w:w="109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0003</w:t>
            </w:r>
          </w:p>
        </w:tc>
        <w:tc>
          <w:tcPr>
            <w:tcW w:w="896"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036</w:t>
            </w:r>
          </w:p>
        </w:tc>
        <w:tc>
          <w:tcPr>
            <w:tcW w:w="1422"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06</w:t>
            </w:r>
          </w:p>
        </w:tc>
        <w:tc>
          <w:tcPr>
            <w:tcW w:w="2144" w:type="dxa"/>
            <w:vMerge w:val="restart"/>
          </w:tcPr>
          <w:p>
            <w:pPr>
              <w:pageBreakBefore w:val="0"/>
              <w:numPr>
                <w:ilvl w:val="0"/>
                <w:numId w:val="0"/>
              </w:numPr>
              <w:kinsoku/>
              <w:overflowPunct/>
              <w:bidi w:val="0"/>
              <w:spacing w:line="360" w:lineRule="auto"/>
              <w:rPr>
                <w:rFonts w:hint="eastAsia" w:eastAsia="宋体"/>
                <w:sz w:val="21"/>
                <w:szCs w:val="21"/>
                <w:lang w:val="en-US" w:eastAsia="zh-CN"/>
              </w:rPr>
            </w:pPr>
          </w:p>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n=0.014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082"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c>
          <w:tcPr>
            <w:tcW w:w="112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d400</w:t>
            </w:r>
          </w:p>
        </w:tc>
        <w:tc>
          <w:tcPr>
            <w:tcW w:w="109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0.0015</w:t>
            </w:r>
          </w:p>
        </w:tc>
        <w:tc>
          <w:tcPr>
            <w:tcW w:w="896"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0.50</w:t>
            </w:r>
          </w:p>
        </w:tc>
        <w:tc>
          <w:tcPr>
            <w:tcW w:w="1422"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0.6</w:t>
            </w:r>
          </w:p>
        </w:tc>
        <w:tc>
          <w:tcPr>
            <w:tcW w:w="2144"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82"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c>
          <w:tcPr>
            <w:tcW w:w="112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d500</w:t>
            </w:r>
          </w:p>
        </w:tc>
        <w:tc>
          <w:tcPr>
            <w:tcW w:w="109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0.0012</w:t>
            </w:r>
          </w:p>
        </w:tc>
        <w:tc>
          <w:tcPr>
            <w:tcW w:w="896"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0.46</w:t>
            </w:r>
          </w:p>
        </w:tc>
        <w:tc>
          <w:tcPr>
            <w:tcW w:w="1422"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0.6</w:t>
            </w:r>
          </w:p>
        </w:tc>
        <w:tc>
          <w:tcPr>
            <w:tcW w:w="2144"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2082"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c>
          <w:tcPr>
            <w:tcW w:w="112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d600</w:t>
            </w:r>
          </w:p>
        </w:tc>
        <w:tc>
          <w:tcPr>
            <w:tcW w:w="109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0001</w:t>
            </w:r>
          </w:p>
        </w:tc>
        <w:tc>
          <w:tcPr>
            <w:tcW w:w="896"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043</w:t>
            </w:r>
          </w:p>
        </w:tc>
        <w:tc>
          <w:tcPr>
            <w:tcW w:w="1422"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06</w:t>
            </w:r>
          </w:p>
        </w:tc>
        <w:tc>
          <w:tcPr>
            <w:tcW w:w="2144"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082" w:type="dxa"/>
            <w:vMerge w:val="restart"/>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HDPE 双壁波纹排水管</w:t>
            </w:r>
          </w:p>
        </w:tc>
        <w:tc>
          <w:tcPr>
            <w:tcW w:w="112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d300</w:t>
            </w:r>
          </w:p>
        </w:tc>
        <w:tc>
          <w:tcPr>
            <w:tcW w:w="109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0.003</w:t>
            </w:r>
          </w:p>
        </w:tc>
        <w:tc>
          <w:tcPr>
            <w:tcW w:w="896"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0.18</w:t>
            </w:r>
          </w:p>
        </w:tc>
        <w:tc>
          <w:tcPr>
            <w:tcW w:w="1422"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0.6</w:t>
            </w:r>
          </w:p>
        </w:tc>
        <w:tc>
          <w:tcPr>
            <w:tcW w:w="2144" w:type="dxa"/>
            <w:vMerge w:val="restart"/>
          </w:tcPr>
          <w:p>
            <w:pPr>
              <w:pageBreakBefore w:val="0"/>
              <w:numPr>
                <w:ilvl w:val="0"/>
                <w:numId w:val="0"/>
              </w:numPr>
              <w:kinsoku/>
              <w:overflowPunct/>
              <w:bidi w:val="0"/>
              <w:spacing w:line="360" w:lineRule="auto"/>
              <w:rPr>
                <w:rFonts w:hint="eastAsia" w:eastAsia="宋体"/>
                <w:sz w:val="21"/>
                <w:szCs w:val="21"/>
                <w:lang w:val="en-US" w:eastAsia="zh-CN"/>
              </w:rPr>
            </w:pPr>
          </w:p>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n=0.009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82"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c>
          <w:tcPr>
            <w:tcW w:w="112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d400</w:t>
            </w:r>
          </w:p>
        </w:tc>
        <w:tc>
          <w:tcPr>
            <w:tcW w:w="109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0.0015</w:t>
            </w:r>
          </w:p>
        </w:tc>
        <w:tc>
          <w:tcPr>
            <w:tcW w:w="896"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0.22</w:t>
            </w:r>
          </w:p>
        </w:tc>
        <w:tc>
          <w:tcPr>
            <w:tcW w:w="1422"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0.6</w:t>
            </w:r>
          </w:p>
        </w:tc>
        <w:tc>
          <w:tcPr>
            <w:tcW w:w="2144"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82"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c>
          <w:tcPr>
            <w:tcW w:w="112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d500</w:t>
            </w:r>
          </w:p>
        </w:tc>
        <w:tc>
          <w:tcPr>
            <w:tcW w:w="109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0.0012</w:t>
            </w:r>
          </w:p>
        </w:tc>
        <w:tc>
          <w:tcPr>
            <w:tcW w:w="896"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0.21</w:t>
            </w:r>
          </w:p>
        </w:tc>
        <w:tc>
          <w:tcPr>
            <w:tcW w:w="1422"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0.6</w:t>
            </w:r>
          </w:p>
        </w:tc>
        <w:tc>
          <w:tcPr>
            <w:tcW w:w="2144"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2082"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c>
          <w:tcPr>
            <w:tcW w:w="112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d600</w:t>
            </w:r>
          </w:p>
        </w:tc>
        <w:tc>
          <w:tcPr>
            <w:tcW w:w="109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0.001</w:t>
            </w:r>
          </w:p>
        </w:tc>
        <w:tc>
          <w:tcPr>
            <w:tcW w:w="896"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0.20</w:t>
            </w:r>
          </w:p>
        </w:tc>
        <w:tc>
          <w:tcPr>
            <w:tcW w:w="1422"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0.6</w:t>
            </w:r>
          </w:p>
        </w:tc>
        <w:tc>
          <w:tcPr>
            <w:tcW w:w="2144"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82" w:type="dxa"/>
            <w:vMerge w:val="restart"/>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玻璃纤维增强塑料夹砂排水管</w:t>
            </w:r>
          </w:p>
        </w:tc>
        <w:tc>
          <w:tcPr>
            <w:tcW w:w="112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d300</w:t>
            </w:r>
          </w:p>
        </w:tc>
        <w:tc>
          <w:tcPr>
            <w:tcW w:w="109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0.003</w:t>
            </w:r>
          </w:p>
        </w:tc>
        <w:tc>
          <w:tcPr>
            <w:tcW w:w="896"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0.20</w:t>
            </w:r>
          </w:p>
        </w:tc>
        <w:tc>
          <w:tcPr>
            <w:tcW w:w="1422"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0.6</w:t>
            </w:r>
          </w:p>
        </w:tc>
        <w:tc>
          <w:tcPr>
            <w:tcW w:w="2144" w:type="dxa"/>
            <w:vMerge w:val="restart"/>
          </w:tcPr>
          <w:p>
            <w:pPr>
              <w:pageBreakBefore w:val="0"/>
              <w:numPr>
                <w:ilvl w:val="0"/>
                <w:numId w:val="0"/>
              </w:numPr>
              <w:kinsoku/>
              <w:overflowPunct/>
              <w:bidi w:val="0"/>
              <w:spacing w:line="360" w:lineRule="auto"/>
              <w:rPr>
                <w:rFonts w:hint="eastAsia" w:eastAsia="宋体"/>
                <w:sz w:val="21"/>
                <w:szCs w:val="21"/>
                <w:lang w:val="en-US" w:eastAsia="zh-CN"/>
              </w:rPr>
            </w:pPr>
          </w:p>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n=0.01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82"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c>
          <w:tcPr>
            <w:tcW w:w="112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d400</w:t>
            </w:r>
          </w:p>
        </w:tc>
        <w:tc>
          <w:tcPr>
            <w:tcW w:w="109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0.0015</w:t>
            </w:r>
          </w:p>
        </w:tc>
        <w:tc>
          <w:tcPr>
            <w:tcW w:w="896"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0.26</w:t>
            </w:r>
          </w:p>
        </w:tc>
        <w:tc>
          <w:tcPr>
            <w:tcW w:w="1422"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0.6</w:t>
            </w:r>
          </w:p>
        </w:tc>
        <w:tc>
          <w:tcPr>
            <w:tcW w:w="2144"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82"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c>
          <w:tcPr>
            <w:tcW w:w="112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d500</w:t>
            </w:r>
          </w:p>
        </w:tc>
        <w:tc>
          <w:tcPr>
            <w:tcW w:w="109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0.0012</w:t>
            </w:r>
          </w:p>
        </w:tc>
        <w:tc>
          <w:tcPr>
            <w:tcW w:w="896"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0.25</w:t>
            </w:r>
          </w:p>
        </w:tc>
        <w:tc>
          <w:tcPr>
            <w:tcW w:w="1422"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0.6</w:t>
            </w:r>
          </w:p>
        </w:tc>
        <w:tc>
          <w:tcPr>
            <w:tcW w:w="2144"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2082"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c>
          <w:tcPr>
            <w:tcW w:w="112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d600</w:t>
            </w:r>
          </w:p>
        </w:tc>
        <w:tc>
          <w:tcPr>
            <w:tcW w:w="109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0.001</w:t>
            </w:r>
          </w:p>
        </w:tc>
        <w:tc>
          <w:tcPr>
            <w:tcW w:w="896"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0.23</w:t>
            </w:r>
          </w:p>
        </w:tc>
        <w:tc>
          <w:tcPr>
            <w:tcW w:w="1422"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0.6</w:t>
            </w:r>
          </w:p>
        </w:tc>
        <w:tc>
          <w:tcPr>
            <w:tcW w:w="2144"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r>
    </w:tbl>
    <w:p>
      <w:pPr>
        <w:pageBreakBefore w:val="0"/>
        <w:numPr>
          <w:ilvl w:val="0"/>
          <w:numId w:val="0"/>
        </w:numPr>
        <w:kinsoku/>
        <w:overflowPunct/>
        <w:bidi w:val="0"/>
        <w:spacing w:line="360" w:lineRule="auto"/>
        <w:ind w:firstLine="560" w:firstLineChars="200"/>
        <w:rPr>
          <w:rFonts w:hint="default" w:eastAsia="宋体"/>
          <w:lang w:val="en-US" w:eastAsia="zh-CN"/>
        </w:rPr>
      </w:pPr>
      <w:r>
        <w:rPr>
          <w:rFonts w:hint="eastAsia" w:eastAsia="宋体"/>
          <w:lang w:val="en-US" w:eastAsia="zh-CN"/>
        </w:rPr>
        <w:t>根据上述技术比较，结合地形条件，可选用管内粗糙率低，管内光滑，使用寿命长，又可承受外部压力的管材</w:t>
      </w:r>
      <w:r>
        <w:rPr>
          <w:rFonts w:hint="eastAsia"/>
          <w:lang w:val="en-US" w:eastAsia="zh-CN"/>
        </w:rPr>
        <w:t>。</w:t>
      </w:r>
    </w:p>
    <w:p>
      <w:pPr>
        <w:pageBreakBefore w:val="0"/>
        <w:numPr>
          <w:ilvl w:val="0"/>
          <w:numId w:val="0"/>
        </w:numPr>
        <w:kinsoku/>
        <w:overflowPunct/>
        <w:bidi w:val="0"/>
        <w:spacing w:line="360" w:lineRule="auto"/>
        <w:ind w:firstLine="560" w:firstLineChars="200"/>
        <w:rPr>
          <w:rFonts w:hint="eastAsia" w:eastAsia="宋体"/>
          <w:lang w:val="en-US" w:eastAsia="zh-CN"/>
        </w:rPr>
      </w:pPr>
    </w:p>
    <w:p>
      <w:pPr>
        <w:pageBreakBefore w:val="0"/>
        <w:numPr>
          <w:ilvl w:val="0"/>
          <w:numId w:val="0"/>
        </w:numPr>
        <w:kinsoku/>
        <w:overflowPunct/>
        <w:bidi w:val="0"/>
        <w:spacing w:line="360" w:lineRule="auto"/>
        <w:rPr>
          <w:rFonts w:hint="eastAsia" w:eastAsia="宋体"/>
          <w:lang w:val="en-US" w:eastAsia="zh-CN"/>
        </w:rPr>
      </w:pPr>
    </w:p>
    <w:p>
      <w:pPr>
        <w:pStyle w:val="2"/>
        <w:rPr>
          <w:rFonts w:hint="eastAsia"/>
          <w:lang w:val="en-US" w:eastAsia="zh-CN"/>
        </w:rPr>
      </w:pPr>
    </w:p>
    <w:p>
      <w:pPr>
        <w:pageBreakBefore w:val="0"/>
        <w:numPr>
          <w:ilvl w:val="0"/>
          <w:numId w:val="0"/>
        </w:numPr>
        <w:kinsoku/>
        <w:overflowPunct/>
        <w:bidi w:val="0"/>
        <w:spacing w:line="360" w:lineRule="auto"/>
        <w:ind w:firstLine="482" w:firstLineChars="200"/>
        <w:rPr>
          <w:rFonts w:hint="eastAsia" w:eastAsia="宋体"/>
          <w:b/>
          <w:bCs/>
          <w:sz w:val="24"/>
          <w:szCs w:val="21"/>
          <w:lang w:val="en-US" w:eastAsia="zh-CN"/>
        </w:rPr>
      </w:pPr>
      <w:r>
        <w:rPr>
          <w:rFonts w:hint="eastAsia" w:eastAsia="宋体"/>
          <w:b/>
          <w:bCs/>
          <w:sz w:val="24"/>
          <w:szCs w:val="21"/>
          <w:lang w:val="en-US" w:eastAsia="zh-CN"/>
        </w:rPr>
        <w:t>管材的特性比较</w:t>
      </w:r>
    </w:p>
    <w:tbl>
      <w:tblPr>
        <w:tblStyle w:val="15"/>
        <w:tblW w:w="87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737"/>
        <w:gridCol w:w="1772"/>
        <w:gridCol w:w="1917"/>
        <w:gridCol w:w="1804"/>
        <w:gridCol w:w="17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73" w:type="dxa"/>
            <w:vMerge w:val="restart"/>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序号</w:t>
            </w:r>
          </w:p>
        </w:tc>
        <w:tc>
          <w:tcPr>
            <w:tcW w:w="2509" w:type="dxa"/>
            <w:gridSpan w:val="2"/>
            <w:vMerge w:val="restart"/>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比较内容</w:t>
            </w:r>
          </w:p>
        </w:tc>
        <w:tc>
          <w:tcPr>
            <w:tcW w:w="5490" w:type="dxa"/>
            <w:gridSpan w:val="3"/>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排水管道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73" w:type="dxa"/>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c>
          <w:tcPr>
            <w:tcW w:w="2509" w:type="dxa"/>
            <w:gridSpan w:val="2"/>
            <w:vMerge w:val="continue"/>
            <w:tcBorders>
              <w:top w:val="nil"/>
            </w:tcBorders>
          </w:tcPr>
          <w:p>
            <w:pPr>
              <w:pageBreakBefore w:val="0"/>
              <w:numPr>
                <w:ilvl w:val="0"/>
                <w:numId w:val="0"/>
              </w:numPr>
              <w:kinsoku/>
              <w:overflowPunct/>
              <w:bidi w:val="0"/>
              <w:spacing w:line="360" w:lineRule="auto"/>
              <w:rPr>
                <w:rFonts w:hint="eastAsia" w:eastAsia="宋体"/>
                <w:sz w:val="21"/>
                <w:szCs w:val="21"/>
                <w:lang w:val="en-US" w:eastAsia="zh-CN"/>
              </w:rPr>
            </w:pPr>
          </w:p>
        </w:tc>
        <w:tc>
          <w:tcPr>
            <w:tcW w:w="1917"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双壁波纹管</w:t>
            </w:r>
          </w:p>
        </w:tc>
        <w:tc>
          <w:tcPr>
            <w:tcW w:w="1804"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玻璃钢管</w:t>
            </w:r>
          </w:p>
        </w:tc>
        <w:tc>
          <w:tcPr>
            <w:tcW w:w="1769" w:type="dxa"/>
          </w:tcPr>
          <w:p>
            <w:pPr>
              <w:pageBreakBefore w:val="0"/>
              <w:numPr>
                <w:ilvl w:val="0"/>
                <w:numId w:val="0"/>
              </w:numPr>
              <w:kinsoku/>
              <w:overflowPunct/>
              <w:bidi w:val="0"/>
              <w:spacing w:line="360" w:lineRule="auto"/>
              <w:rPr>
                <w:rFonts w:hint="eastAsia" w:eastAsia="宋体"/>
                <w:sz w:val="21"/>
                <w:szCs w:val="21"/>
                <w:lang w:val="en-US" w:eastAsia="zh-CN"/>
              </w:rPr>
            </w:pPr>
            <w:r>
              <w:rPr>
                <w:rFonts w:hint="eastAsia" w:eastAsia="宋体"/>
                <w:sz w:val="21"/>
                <w:szCs w:val="21"/>
                <w:lang w:val="en-US" w:eastAsia="zh-CN"/>
              </w:rPr>
              <w:t>钢筋混凝土管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73" w:type="dxa"/>
            <w:vMerge w:val="restart"/>
          </w:tcPr>
          <w:p>
            <w:pPr>
              <w:pageBreakBefore w:val="0"/>
              <w:numPr>
                <w:ilvl w:val="0"/>
                <w:numId w:val="0"/>
              </w:numPr>
              <w:kinsoku/>
              <w:overflowPunct/>
              <w:bidi w:val="0"/>
              <w:spacing w:line="360" w:lineRule="auto"/>
              <w:rPr>
                <w:rFonts w:hint="eastAsia" w:eastAsia="宋体"/>
                <w:sz w:val="20"/>
                <w:szCs w:val="20"/>
                <w:lang w:val="en-US" w:eastAsia="zh-CN"/>
              </w:rPr>
            </w:pPr>
          </w:p>
          <w:p>
            <w:pPr>
              <w:pageBreakBefore w:val="0"/>
              <w:numPr>
                <w:ilvl w:val="0"/>
                <w:numId w:val="0"/>
              </w:numPr>
              <w:kinsoku/>
              <w:overflowPunct/>
              <w:bidi w:val="0"/>
              <w:spacing w:line="360" w:lineRule="auto"/>
              <w:rPr>
                <w:rFonts w:hint="eastAsia" w:eastAsia="宋体"/>
                <w:sz w:val="20"/>
                <w:szCs w:val="20"/>
                <w:lang w:val="en-US" w:eastAsia="zh-CN"/>
              </w:rPr>
            </w:pPr>
          </w:p>
          <w:p>
            <w:pPr>
              <w:pageBreakBefore w:val="0"/>
              <w:numPr>
                <w:ilvl w:val="0"/>
                <w:numId w:val="0"/>
              </w:numPr>
              <w:kinsoku/>
              <w:overflowPunct/>
              <w:bidi w:val="0"/>
              <w:spacing w:line="360" w:lineRule="auto"/>
              <w:rPr>
                <w:rFonts w:hint="eastAsia" w:eastAsia="宋体"/>
                <w:sz w:val="20"/>
                <w:szCs w:val="20"/>
                <w:lang w:val="en-US" w:eastAsia="zh-CN"/>
              </w:rPr>
            </w:pPr>
          </w:p>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一</w:t>
            </w:r>
          </w:p>
        </w:tc>
        <w:tc>
          <w:tcPr>
            <w:tcW w:w="737" w:type="dxa"/>
            <w:vMerge w:val="restart"/>
          </w:tcPr>
          <w:p>
            <w:pPr>
              <w:pageBreakBefore w:val="0"/>
              <w:numPr>
                <w:ilvl w:val="0"/>
                <w:numId w:val="0"/>
              </w:numPr>
              <w:kinsoku/>
              <w:overflowPunct/>
              <w:bidi w:val="0"/>
              <w:spacing w:line="360" w:lineRule="auto"/>
              <w:rPr>
                <w:rFonts w:hint="eastAsia" w:eastAsia="宋体"/>
                <w:sz w:val="20"/>
                <w:szCs w:val="20"/>
                <w:lang w:val="en-US" w:eastAsia="zh-CN"/>
              </w:rPr>
            </w:pPr>
          </w:p>
          <w:p>
            <w:pPr>
              <w:pageBreakBefore w:val="0"/>
              <w:numPr>
                <w:ilvl w:val="0"/>
                <w:numId w:val="0"/>
              </w:numPr>
              <w:kinsoku/>
              <w:overflowPunct/>
              <w:bidi w:val="0"/>
              <w:spacing w:line="360" w:lineRule="auto"/>
              <w:rPr>
                <w:rFonts w:hint="eastAsia" w:eastAsia="宋体"/>
                <w:sz w:val="20"/>
                <w:szCs w:val="20"/>
                <w:lang w:val="en-US" w:eastAsia="zh-CN"/>
              </w:rPr>
            </w:pPr>
          </w:p>
          <w:p>
            <w:pPr>
              <w:pageBreakBefore w:val="0"/>
              <w:numPr>
                <w:ilvl w:val="0"/>
                <w:numId w:val="0"/>
              </w:numPr>
              <w:kinsoku/>
              <w:overflowPunct/>
              <w:bidi w:val="0"/>
              <w:spacing w:line="360" w:lineRule="auto"/>
              <w:rPr>
                <w:rFonts w:hint="eastAsia" w:eastAsia="宋体"/>
                <w:sz w:val="20"/>
                <w:szCs w:val="20"/>
                <w:lang w:val="en-US" w:eastAsia="zh-CN"/>
              </w:rPr>
            </w:pPr>
          </w:p>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国内使用情况</w:t>
            </w:r>
          </w:p>
        </w:tc>
        <w:tc>
          <w:tcPr>
            <w:tcW w:w="1772"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技术可行性</w:t>
            </w:r>
          </w:p>
        </w:tc>
        <w:tc>
          <w:tcPr>
            <w:tcW w:w="1917"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很好</w:t>
            </w:r>
          </w:p>
        </w:tc>
        <w:tc>
          <w:tcPr>
            <w:tcW w:w="1804"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很好</w:t>
            </w:r>
          </w:p>
        </w:tc>
        <w:tc>
          <w:tcPr>
            <w:tcW w:w="1769"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很好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9" w:hRule="atLeast"/>
        </w:trPr>
        <w:tc>
          <w:tcPr>
            <w:tcW w:w="773" w:type="dxa"/>
            <w:vMerge w:val="continue"/>
            <w:tcBorders>
              <w:top w:val="nil"/>
            </w:tcBorders>
          </w:tcPr>
          <w:p>
            <w:pPr>
              <w:pageBreakBefore w:val="0"/>
              <w:numPr>
                <w:ilvl w:val="0"/>
                <w:numId w:val="0"/>
              </w:numPr>
              <w:kinsoku/>
              <w:overflowPunct/>
              <w:bidi w:val="0"/>
              <w:spacing w:line="360" w:lineRule="auto"/>
              <w:rPr>
                <w:rFonts w:hint="eastAsia" w:eastAsia="宋体"/>
                <w:sz w:val="20"/>
                <w:szCs w:val="20"/>
                <w:lang w:val="en-US" w:eastAsia="zh-CN"/>
              </w:rPr>
            </w:pPr>
          </w:p>
        </w:tc>
        <w:tc>
          <w:tcPr>
            <w:tcW w:w="737" w:type="dxa"/>
            <w:vMerge w:val="continue"/>
            <w:tcBorders>
              <w:top w:val="nil"/>
            </w:tcBorders>
          </w:tcPr>
          <w:p>
            <w:pPr>
              <w:pageBreakBefore w:val="0"/>
              <w:numPr>
                <w:ilvl w:val="0"/>
                <w:numId w:val="0"/>
              </w:numPr>
              <w:kinsoku/>
              <w:overflowPunct/>
              <w:bidi w:val="0"/>
              <w:spacing w:line="360" w:lineRule="auto"/>
              <w:rPr>
                <w:rFonts w:hint="eastAsia" w:eastAsia="宋体"/>
                <w:sz w:val="20"/>
                <w:szCs w:val="20"/>
                <w:lang w:val="en-US" w:eastAsia="zh-CN"/>
              </w:rPr>
            </w:pPr>
          </w:p>
        </w:tc>
        <w:tc>
          <w:tcPr>
            <w:tcW w:w="1772" w:type="dxa"/>
          </w:tcPr>
          <w:p>
            <w:pPr>
              <w:pageBreakBefore w:val="0"/>
              <w:numPr>
                <w:ilvl w:val="0"/>
                <w:numId w:val="0"/>
              </w:numPr>
              <w:kinsoku/>
              <w:overflowPunct/>
              <w:bidi w:val="0"/>
              <w:spacing w:line="360" w:lineRule="auto"/>
              <w:rPr>
                <w:rFonts w:hint="eastAsia" w:eastAsia="宋体"/>
                <w:sz w:val="20"/>
                <w:szCs w:val="20"/>
                <w:lang w:val="en-US" w:eastAsia="zh-CN"/>
              </w:rPr>
            </w:pPr>
          </w:p>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技术适用情况</w:t>
            </w:r>
          </w:p>
        </w:tc>
        <w:tc>
          <w:tcPr>
            <w:tcW w:w="1917"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适用于输送低压污水，具有抗外压荷载能力，小管径 采用较多</w:t>
            </w:r>
          </w:p>
        </w:tc>
        <w:tc>
          <w:tcPr>
            <w:tcW w:w="1804"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适用于输送任意流态流量大的污水，具有抗外压荷载能力，大管径 采用较多</w:t>
            </w:r>
          </w:p>
        </w:tc>
        <w:tc>
          <w:tcPr>
            <w:tcW w:w="1769"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适用于输送重力流污水，具有抗外压荷载能力，大管径采用较多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73" w:type="dxa"/>
            <w:vMerge w:val="continue"/>
            <w:tcBorders>
              <w:top w:val="nil"/>
            </w:tcBorders>
          </w:tcPr>
          <w:p>
            <w:pPr>
              <w:pageBreakBefore w:val="0"/>
              <w:numPr>
                <w:ilvl w:val="0"/>
                <w:numId w:val="0"/>
              </w:numPr>
              <w:kinsoku/>
              <w:overflowPunct/>
              <w:bidi w:val="0"/>
              <w:spacing w:line="360" w:lineRule="auto"/>
              <w:rPr>
                <w:rFonts w:hint="eastAsia" w:eastAsia="宋体"/>
                <w:sz w:val="20"/>
                <w:szCs w:val="20"/>
                <w:lang w:val="en-US" w:eastAsia="zh-CN"/>
              </w:rPr>
            </w:pPr>
          </w:p>
        </w:tc>
        <w:tc>
          <w:tcPr>
            <w:tcW w:w="737" w:type="dxa"/>
            <w:vMerge w:val="continue"/>
            <w:tcBorders>
              <w:top w:val="nil"/>
            </w:tcBorders>
          </w:tcPr>
          <w:p>
            <w:pPr>
              <w:pageBreakBefore w:val="0"/>
              <w:numPr>
                <w:ilvl w:val="0"/>
                <w:numId w:val="0"/>
              </w:numPr>
              <w:kinsoku/>
              <w:overflowPunct/>
              <w:bidi w:val="0"/>
              <w:spacing w:line="360" w:lineRule="auto"/>
              <w:rPr>
                <w:rFonts w:hint="eastAsia" w:eastAsia="宋体"/>
                <w:sz w:val="20"/>
                <w:szCs w:val="20"/>
                <w:lang w:val="en-US" w:eastAsia="zh-CN"/>
              </w:rPr>
            </w:pPr>
          </w:p>
        </w:tc>
        <w:tc>
          <w:tcPr>
            <w:tcW w:w="1772"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使用寿命</w:t>
            </w:r>
          </w:p>
        </w:tc>
        <w:tc>
          <w:tcPr>
            <w:tcW w:w="1917"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使用年限长</w:t>
            </w:r>
          </w:p>
        </w:tc>
        <w:tc>
          <w:tcPr>
            <w:tcW w:w="1804"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使用年限长</w:t>
            </w:r>
          </w:p>
        </w:tc>
        <w:tc>
          <w:tcPr>
            <w:tcW w:w="1769"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使用年限长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3" w:type="dxa"/>
            <w:vMerge w:val="restart"/>
          </w:tcPr>
          <w:p>
            <w:pPr>
              <w:pageBreakBefore w:val="0"/>
              <w:numPr>
                <w:ilvl w:val="0"/>
                <w:numId w:val="0"/>
              </w:numPr>
              <w:kinsoku/>
              <w:overflowPunct/>
              <w:bidi w:val="0"/>
              <w:spacing w:line="360" w:lineRule="auto"/>
              <w:rPr>
                <w:rFonts w:hint="eastAsia" w:eastAsia="宋体"/>
                <w:sz w:val="20"/>
                <w:szCs w:val="20"/>
                <w:lang w:val="en-US" w:eastAsia="zh-CN"/>
              </w:rPr>
            </w:pPr>
          </w:p>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二</w:t>
            </w:r>
          </w:p>
        </w:tc>
        <w:tc>
          <w:tcPr>
            <w:tcW w:w="737" w:type="dxa"/>
            <w:vMerge w:val="restart"/>
          </w:tcPr>
          <w:p>
            <w:pPr>
              <w:pageBreakBefore w:val="0"/>
              <w:numPr>
                <w:ilvl w:val="0"/>
                <w:numId w:val="0"/>
              </w:numPr>
              <w:kinsoku/>
              <w:overflowPunct/>
              <w:bidi w:val="0"/>
              <w:spacing w:line="360" w:lineRule="auto"/>
              <w:rPr>
                <w:rFonts w:hint="eastAsia" w:eastAsia="宋体"/>
                <w:sz w:val="20"/>
                <w:szCs w:val="20"/>
                <w:lang w:val="en-US" w:eastAsia="zh-CN"/>
              </w:rPr>
            </w:pPr>
          </w:p>
          <w:p>
            <w:pPr>
              <w:pageBreakBefore w:val="0"/>
              <w:numPr>
                <w:ilvl w:val="0"/>
                <w:numId w:val="0"/>
              </w:numPr>
              <w:kinsoku/>
              <w:overflowPunct/>
              <w:bidi w:val="0"/>
              <w:spacing w:line="360" w:lineRule="auto"/>
              <w:rPr>
                <w:rFonts w:hint="eastAsia" w:eastAsia="宋体"/>
                <w:sz w:val="20"/>
                <w:szCs w:val="20"/>
                <w:lang w:val="en-US" w:eastAsia="zh-CN"/>
              </w:rPr>
            </w:pPr>
          </w:p>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施工</w:t>
            </w:r>
          </w:p>
        </w:tc>
        <w:tc>
          <w:tcPr>
            <w:tcW w:w="1772"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施工难易程度</w:t>
            </w:r>
          </w:p>
        </w:tc>
        <w:tc>
          <w:tcPr>
            <w:tcW w:w="1917"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吊运安装重量较轻</w:t>
            </w:r>
          </w:p>
        </w:tc>
        <w:tc>
          <w:tcPr>
            <w:tcW w:w="1804"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吊运安装重量较轻</w:t>
            </w:r>
          </w:p>
        </w:tc>
        <w:tc>
          <w:tcPr>
            <w:tcW w:w="1769"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吊运安装重量较重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773" w:type="dxa"/>
            <w:vMerge w:val="continue"/>
            <w:tcBorders>
              <w:top w:val="nil"/>
            </w:tcBorders>
          </w:tcPr>
          <w:p>
            <w:pPr>
              <w:pageBreakBefore w:val="0"/>
              <w:numPr>
                <w:ilvl w:val="0"/>
                <w:numId w:val="0"/>
              </w:numPr>
              <w:kinsoku/>
              <w:overflowPunct/>
              <w:bidi w:val="0"/>
              <w:spacing w:line="360" w:lineRule="auto"/>
              <w:rPr>
                <w:rFonts w:hint="eastAsia" w:eastAsia="宋体"/>
                <w:sz w:val="20"/>
                <w:szCs w:val="20"/>
                <w:lang w:val="en-US" w:eastAsia="zh-CN"/>
              </w:rPr>
            </w:pPr>
          </w:p>
        </w:tc>
        <w:tc>
          <w:tcPr>
            <w:tcW w:w="737" w:type="dxa"/>
            <w:vMerge w:val="continue"/>
            <w:tcBorders>
              <w:top w:val="nil"/>
            </w:tcBorders>
          </w:tcPr>
          <w:p>
            <w:pPr>
              <w:pageBreakBefore w:val="0"/>
              <w:numPr>
                <w:ilvl w:val="0"/>
                <w:numId w:val="0"/>
              </w:numPr>
              <w:kinsoku/>
              <w:overflowPunct/>
              <w:bidi w:val="0"/>
              <w:spacing w:line="360" w:lineRule="auto"/>
              <w:rPr>
                <w:rFonts w:hint="eastAsia" w:eastAsia="宋体"/>
                <w:sz w:val="20"/>
                <w:szCs w:val="20"/>
                <w:lang w:val="en-US" w:eastAsia="zh-CN"/>
              </w:rPr>
            </w:pPr>
          </w:p>
        </w:tc>
        <w:tc>
          <w:tcPr>
            <w:tcW w:w="1772"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对地基适应性</w:t>
            </w:r>
          </w:p>
        </w:tc>
        <w:tc>
          <w:tcPr>
            <w:tcW w:w="1917"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较强</w:t>
            </w:r>
          </w:p>
        </w:tc>
        <w:tc>
          <w:tcPr>
            <w:tcW w:w="1804"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一般</w:t>
            </w:r>
          </w:p>
        </w:tc>
        <w:tc>
          <w:tcPr>
            <w:tcW w:w="1769"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较强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73"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三</w:t>
            </w:r>
          </w:p>
        </w:tc>
        <w:tc>
          <w:tcPr>
            <w:tcW w:w="737"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运行</w:t>
            </w:r>
          </w:p>
        </w:tc>
        <w:tc>
          <w:tcPr>
            <w:tcW w:w="1772"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管理维护</w:t>
            </w:r>
          </w:p>
        </w:tc>
        <w:tc>
          <w:tcPr>
            <w:tcW w:w="1917"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容易</w:t>
            </w:r>
          </w:p>
        </w:tc>
        <w:tc>
          <w:tcPr>
            <w:tcW w:w="1804"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一般</w:t>
            </w:r>
          </w:p>
        </w:tc>
        <w:tc>
          <w:tcPr>
            <w:tcW w:w="1769"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不便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73"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四</w:t>
            </w:r>
          </w:p>
        </w:tc>
        <w:tc>
          <w:tcPr>
            <w:tcW w:w="737"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缺点</w:t>
            </w:r>
          </w:p>
        </w:tc>
        <w:tc>
          <w:tcPr>
            <w:tcW w:w="1772" w:type="dxa"/>
          </w:tcPr>
          <w:p>
            <w:pPr>
              <w:pageBreakBefore w:val="0"/>
              <w:numPr>
                <w:ilvl w:val="0"/>
                <w:numId w:val="0"/>
              </w:numPr>
              <w:kinsoku/>
              <w:overflowPunct/>
              <w:bidi w:val="0"/>
              <w:spacing w:line="360" w:lineRule="auto"/>
              <w:rPr>
                <w:rFonts w:hint="eastAsia" w:eastAsia="宋体"/>
                <w:sz w:val="20"/>
                <w:szCs w:val="20"/>
                <w:lang w:val="en-US" w:eastAsia="zh-CN"/>
              </w:rPr>
            </w:pPr>
          </w:p>
        </w:tc>
        <w:tc>
          <w:tcPr>
            <w:tcW w:w="1917" w:type="dxa"/>
          </w:tcPr>
          <w:p>
            <w:pPr>
              <w:pageBreakBefore w:val="0"/>
              <w:numPr>
                <w:ilvl w:val="0"/>
                <w:numId w:val="0"/>
              </w:numPr>
              <w:kinsoku/>
              <w:overflowPunct/>
              <w:bidi w:val="0"/>
              <w:spacing w:line="360" w:lineRule="auto"/>
              <w:rPr>
                <w:rFonts w:hint="eastAsia" w:eastAsia="宋体"/>
                <w:sz w:val="20"/>
                <w:szCs w:val="20"/>
                <w:lang w:val="en-US" w:eastAsia="zh-CN"/>
              </w:rPr>
            </w:pPr>
          </w:p>
        </w:tc>
        <w:tc>
          <w:tcPr>
            <w:tcW w:w="1804"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对地基要求较高</w:t>
            </w:r>
          </w:p>
        </w:tc>
        <w:tc>
          <w:tcPr>
            <w:tcW w:w="1769" w:type="dxa"/>
          </w:tcPr>
          <w:p>
            <w:pPr>
              <w:pageBreakBefore w:val="0"/>
              <w:numPr>
                <w:ilvl w:val="0"/>
                <w:numId w:val="0"/>
              </w:numPr>
              <w:kinsoku/>
              <w:overflowPunct/>
              <w:bidi w:val="0"/>
              <w:spacing w:line="360" w:lineRule="auto"/>
              <w:rPr>
                <w:rFonts w:hint="eastAsia" w:eastAsia="宋体"/>
                <w:sz w:val="20"/>
                <w:szCs w:val="20"/>
                <w:lang w:val="en-US" w:eastAsia="zh-CN"/>
              </w:rPr>
            </w:pPr>
            <w:r>
              <w:rPr>
                <w:rFonts w:hint="eastAsia" w:eastAsia="宋体"/>
                <w:sz w:val="20"/>
                <w:szCs w:val="20"/>
                <w:lang w:val="en-US" w:eastAsia="zh-CN"/>
              </w:rPr>
              <w:t>施工难度大</w:t>
            </w:r>
          </w:p>
        </w:tc>
      </w:tr>
    </w:tbl>
    <w:p>
      <w:pPr>
        <w:pageBreakBefore w:val="0"/>
        <w:numPr>
          <w:ilvl w:val="0"/>
          <w:numId w:val="0"/>
        </w:numPr>
        <w:kinsoku/>
        <w:overflowPunct/>
        <w:bidi w:val="0"/>
        <w:spacing w:line="360" w:lineRule="auto"/>
        <w:ind w:firstLine="482" w:firstLineChars="200"/>
        <w:rPr>
          <w:rFonts w:hint="eastAsia" w:eastAsia="宋体"/>
          <w:b/>
          <w:bCs/>
          <w:sz w:val="24"/>
          <w:szCs w:val="21"/>
          <w:lang w:val="en-US" w:eastAsia="zh-CN"/>
        </w:rPr>
      </w:pPr>
      <w:r>
        <w:rPr>
          <w:rFonts w:hint="eastAsia" w:eastAsia="宋体"/>
          <w:b/>
          <w:bCs/>
          <w:sz w:val="24"/>
          <w:szCs w:val="21"/>
          <w:lang w:val="en-US" w:eastAsia="zh-CN"/>
        </w:rPr>
        <w:t>管材的经济性比较</w:t>
      </w:r>
    </w:p>
    <w:p>
      <w:pPr>
        <w:pageBreakBefore w:val="0"/>
        <w:numPr>
          <w:ilvl w:val="0"/>
          <w:numId w:val="0"/>
        </w:numPr>
        <w:kinsoku/>
        <w:overflowPunct/>
        <w:bidi w:val="0"/>
        <w:spacing w:line="360" w:lineRule="auto"/>
        <w:ind w:firstLine="482" w:firstLineChars="200"/>
        <w:rPr>
          <w:rFonts w:hint="eastAsia" w:eastAsia="宋体"/>
          <w:b/>
          <w:bCs/>
          <w:sz w:val="24"/>
          <w:szCs w:val="21"/>
          <w:lang w:val="en-US" w:eastAsia="zh-CN"/>
        </w:rPr>
      </w:pPr>
      <w:r>
        <w:rPr>
          <w:rFonts w:hint="eastAsia" w:eastAsia="宋体"/>
          <w:b/>
          <w:bCs/>
          <w:sz w:val="24"/>
          <w:szCs w:val="21"/>
          <w:lang w:val="en-US" w:eastAsia="zh-CN"/>
        </w:rPr>
        <w:t>HDPE双壁波纹排水管（SN≥8KN/m²）</w:t>
      </w:r>
    </w:p>
    <w:p>
      <w:pPr>
        <w:spacing w:line="127" w:lineRule="exact"/>
      </w:pPr>
    </w:p>
    <w:tbl>
      <w:tblPr>
        <w:tblStyle w:val="21"/>
        <w:tblW w:w="8368" w:type="dxa"/>
        <w:tblInd w:w="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4"/>
        <w:gridCol w:w="2229"/>
        <w:gridCol w:w="1558"/>
        <w:gridCol w:w="1700"/>
        <w:gridCol w:w="18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034"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管径</w:t>
            </w:r>
          </w:p>
        </w:tc>
        <w:tc>
          <w:tcPr>
            <w:tcW w:w="2229"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管材价（含运费）</w:t>
            </w:r>
          </w:p>
        </w:tc>
        <w:tc>
          <w:tcPr>
            <w:tcW w:w="1558"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土方</w:t>
            </w:r>
          </w:p>
        </w:tc>
        <w:tc>
          <w:tcPr>
            <w:tcW w:w="1700"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安装</w:t>
            </w:r>
          </w:p>
        </w:tc>
        <w:tc>
          <w:tcPr>
            <w:tcW w:w="1847"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综合价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34"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d300</w:t>
            </w:r>
          </w:p>
        </w:tc>
        <w:tc>
          <w:tcPr>
            <w:tcW w:w="2229"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230</w:t>
            </w:r>
          </w:p>
        </w:tc>
        <w:tc>
          <w:tcPr>
            <w:tcW w:w="1558"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235</w:t>
            </w:r>
          </w:p>
        </w:tc>
        <w:tc>
          <w:tcPr>
            <w:tcW w:w="1700"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45</w:t>
            </w:r>
          </w:p>
        </w:tc>
        <w:tc>
          <w:tcPr>
            <w:tcW w:w="1847" w:type="dxa"/>
            <w:noWrap w:val="0"/>
            <w:vAlign w:val="top"/>
          </w:tcPr>
          <w:p>
            <w:pPr>
              <w:pageBreakBefore w:val="0"/>
              <w:numPr>
                <w:ilvl w:val="0"/>
                <w:numId w:val="0"/>
              </w:numPr>
              <w:kinsoku/>
              <w:overflowPunct/>
              <w:bidi w:val="0"/>
              <w:spacing w:line="360" w:lineRule="auto"/>
              <w:rPr>
                <w:rFonts w:hint="default" w:eastAsia="宋体"/>
                <w:sz w:val="21"/>
                <w:szCs w:val="21"/>
                <w:lang w:val="en-US" w:eastAsia="zh-CN"/>
              </w:rPr>
            </w:pPr>
            <w:r>
              <w:rPr>
                <w:rFonts w:hint="eastAsia" w:eastAsia="宋体"/>
                <w:sz w:val="21"/>
                <w:szCs w:val="21"/>
                <w:lang w:val="en-US" w:eastAsia="zh-CN"/>
              </w:rPr>
              <w:t>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34"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d400</w:t>
            </w:r>
          </w:p>
        </w:tc>
        <w:tc>
          <w:tcPr>
            <w:tcW w:w="2229"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275</w:t>
            </w:r>
          </w:p>
        </w:tc>
        <w:tc>
          <w:tcPr>
            <w:tcW w:w="1558"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260</w:t>
            </w:r>
          </w:p>
        </w:tc>
        <w:tc>
          <w:tcPr>
            <w:tcW w:w="1700"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60</w:t>
            </w:r>
          </w:p>
        </w:tc>
        <w:tc>
          <w:tcPr>
            <w:tcW w:w="1847"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595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34"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d500</w:t>
            </w:r>
          </w:p>
        </w:tc>
        <w:tc>
          <w:tcPr>
            <w:tcW w:w="2229"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480</w:t>
            </w:r>
          </w:p>
        </w:tc>
        <w:tc>
          <w:tcPr>
            <w:tcW w:w="1558"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535</w:t>
            </w:r>
          </w:p>
        </w:tc>
        <w:tc>
          <w:tcPr>
            <w:tcW w:w="1700"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85</w:t>
            </w:r>
          </w:p>
        </w:tc>
        <w:tc>
          <w:tcPr>
            <w:tcW w:w="1847"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1100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034"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d600</w:t>
            </w:r>
          </w:p>
        </w:tc>
        <w:tc>
          <w:tcPr>
            <w:tcW w:w="2229"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510</w:t>
            </w:r>
          </w:p>
        </w:tc>
        <w:tc>
          <w:tcPr>
            <w:tcW w:w="1558"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655</w:t>
            </w:r>
          </w:p>
        </w:tc>
        <w:tc>
          <w:tcPr>
            <w:tcW w:w="1700"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110</w:t>
            </w:r>
          </w:p>
        </w:tc>
        <w:tc>
          <w:tcPr>
            <w:tcW w:w="1847"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1275</w:t>
            </w:r>
          </w:p>
        </w:tc>
      </w:tr>
    </w:tbl>
    <w:p>
      <w:pPr>
        <w:pageBreakBefore w:val="0"/>
        <w:numPr>
          <w:ilvl w:val="0"/>
          <w:numId w:val="0"/>
        </w:numPr>
        <w:kinsoku/>
        <w:overflowPunct/>
        <w:bidi w:val="0"/>
        <w:spacing w:line="360" w:lineRule="auto"/>
        <w:ind w:firstLine="482" w:firstLineChars="200"/>
        <w:rPr>
          <w:rFonts w:hint="eastAsia" w:eastAsia="宋体"/>
          <w:b/>
          <w:bCs/>
          <w:sz w:val="24"/>
          <w:szCs w:val="21"/>
          <w:lang w:val="zh-CN" w:eastAsia="zh-CN"/>
        </w:rPr>
      </w:pPr>
      <w:r>
        <w:rPr>
          <w:rFonts w:hint="eastAsia" w:eastAsia="宋体"/>
          <w:b/>
          <w:bCs/>
          <w:sz w:val="24"/>
          <w:szCs w:val="21"/>
          <w:lang w:val="zh-CN" w:eastAsia="zh-CN"/>
        </w:rPr>
        <w:t>玻璃钢夹砂管管材价格表（0.6MPa，SN≥10KN/m²）</w:t>
      </w:r>
    </w:p>
    <w:tbl>
      <w:tblPr>
        <w:tblStyle w:val="21"/>
        <w:tblW w:w="8368" w:type="dxa"/>
        <w:tblInd w:w="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4"/>
        <w:gridCol w:w="2229"/>
        <w:gridCol w:w="1558"/>
        <w:gridCol w:w="1700"/>
        <w:gridCol w:w="18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034"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管径</w:t>
            </w:r>
          </w:p>
        </w:tc>
        <w:tc>
          <w:tcPr>
            <w:tcW w:w="2229"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管材价（含运费）</w:t>
            </w:r>
          </w:p>
        </w:tc>
        <w:tc>
          <w:tcPr>
            <w:tcW w:w="1558"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土方</w:t>
            </w:r>
          </w:p>
        </w:tc>
        <w:tc>
          <w:tcPr>
            <w:tcW w:w="1700"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安装</w:t>
            </w:r>
          </w:p>
        </w:tc>
        <w:tc>
          <w:tcPr>
            <w:tcW w:w="1847"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综合价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34"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d300</w:t>
            </w:r>
          </w:p>
        </w:tc>
        <w:tc>
          <w:tcPr>
            <w:tcW w:w="2229"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180</w:t>
            </w:r>
          </w:p>
        </w:tc>
        <w:tc>
          <w:tcPr>
            <w:tcW w:w="1558"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235</w:t>
            </w:r>
          </w:p>
        </w:tc>
        <w:tc>
          <w:tcPr>
            <w:tcW w:w="1700"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45</w:t>
            </w:r>
          </w:p>
        </w:tc>
        <w:tc>
          <w:tcPr>
            <w:tcW w:w="1847"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460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34"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d400</w:t>
            </w:r>
          </w:p>
        </w:tc>
        <w:tc>
          <w:tcPr>
            <w:tcW w:w="2229"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200</w:t>
            </w:r>
          </w:p>
        </w:tc>
        <w:tc>
          <w:tcPr>
            <w:tcW w:w="1558"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260</w:t>
            </w:r>
          </w:p>
        </w:tc>
        <w:tc>
          <w:tcPr>
            <w:tcW w:w="1700"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60</w:t>
            </w:r>
          </w:p>
        </w:tc>
        <w:tc>
          <w:tcPr>
            <w:tcW w:w="1847"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34"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d500</w:t>
            </w:r>
          </w:p>
        </w:tc>
        <w:tc>
          <w:tcPr>
            <w:tcW w:w="2229"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432</w:t>
            </w:r>
          </w:p>
        </w:tc>
        <w:tc>
          <w:tcPr>
            <w:tcW w:w="1558"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535</w:t>
            </w:r>
          </w:p>
        </w:tc>
        <w:tc>
          <w:tcPr>
            <w:tcW w:w="1700"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85</w:t>
            </w:r>
          </w:p>
        </w:tc>
        <w:tc>
          <w:tcPr>
            <w:tcW w:w="1847"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1052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034"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d600</w:t>
            </w:r>
          </w:p>
        </w:tc>
        <w:tc>
          <w:tcPr>
            <w:tcW w:w="2229"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500</w:t>
            </w:r>
          </w:p>
        </w:tc>
        <w:tc>
          <w:tcPr>
            <w:tcW w:w="1558"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625</w:t>
            </w:r>
          </w:p>
        </w:tc>
        <w:tc>
          <w:tcPr>
            <w:tcW w:w="1700"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100</w:t>
            </w:r>
          </w:p>
        </w:tc>
        <w:tc>
          <w:tcPr>
            <w:tcW w:w="1847"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1225</w:t>
            </w:r>
          </w:p>
        </w:tc>
      </w:tr>
    </w:tbl>
    <w:p>
      <w:pPr>
        <w:pageBreakBefore w:val="0"/>
        <w:numPr>
          <w:ilvl w:val="0"/>
          <w:numId w:val="0"/>
        </w:numPr>
        <w:kinsoku/>
        <w:overflowPunct/>
        <w:bidi w:val="0"/>
        <w:spacing w:line="360" w:lineRule="auto"/>
        <w:ind w:firstLine="560" w:firstLineChars="200"/>
        <w:rPr>
          <w:rFonts w:hint="eastAsia" w:eastAsia="宋体"/>
          <w:lang w:val="zh-CN" w:eastAsia="zh-CN"/>
        </w:rPr>
      </w:pPr>
      <w:r>
        <w:rPr>
          <w:rFonts w:hint="eastAsia" w:eastAsia="宋体"/>
          <w:lang w:val="zh-CN" w:eastAsia="zh-CN"/>
        </w:rPr>
        <w:t>钢筋混凝土排水管（Ⅱ级）</w:t>
      </w:r>
    </w:p>
    <w:tbl>
      <w:tblPr>
        <w:tblStyle w:val="21"/>
        <w:tblW w:w="8368" w:type="dxa"/>
        <w:tblInd w:w="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4"/>
        <w:gridCol w:w="2229"/>
        <w:gridCol w:w="1558"/>
        <w:gridCol w:w="1700"/>
        <w:gridCol w:w="18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034"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管径</w:t>
            </w:r>
          </w:p>
        </w:tc>
        <w:tc>
          <w:tcPr>
            <w:tcW w:w="2229"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管材价（含运费）</w:t>
            </w:r>
          </w:p>
        </w:tc>
        <w:tc>
          <w:tcPr>
            <w:tcW w:w="1558"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土方</w:t>
            </w:r>
          </w:p>
        </w:tc>
        <w:tc>
          <w:tcPr>
            <w:tcW w:w="1700"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安装</w:t>
            </w:r>
          </w:p>
        </w:tc>
        <w:tc>
          <w:tcPr>
            <w:tcW w:w="1847"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综合价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34"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d300</w:t>
            </w:r>
          </w:p>
        </w:tc>
        <w:tc>
          <w:tcPr>
            <w:tcW w:w="2229"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220</w:t>
            </w:r>
          </w:p>
        </w:tc>
        <w:tc>
          <w:tcPr>
            <w:tcW w:w="1558"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235</w:t>
            </w:r>
          </w:p>
        </w:tc>
        <w:tc>
          <w:tcPr>
            <w:tcW w:w="1700"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75</w:t>
            </w:r>
          </w:p>
        </w:tc>
        <w:tc>
          <w:tcPr>
            <w:tcW w:w="1847"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530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34"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d400</w:t>
            </w:r>
          </w:p>
        </w:tc>
        <w:tc>
          <w:tcPr>
            <w:tcW w:w="2229"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230</w:t>
            </w:r>
          </w:p>
        </w:tc>
        <w:tc>
          <w:tcPr>
            <w:tcW w:w="1558"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260</w:t>
            </w:r>
          </w:p>
        </w:tc>
        <w:tc>
          <w:tcPr>
            <w:tcW w:w="1700"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100</w:t>
            </w:r>
          </w:p>
        </w:tc>
        <w:tc>
          <w:tcPr>
            <w:tcW w:w="1847"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590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34"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d500</w:t>
            </w:r>
          </w:p>
        </w:tc>
        <w:tc>
          <w:tcPr>
            <w:tcW w:w="2229"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515</w:t>
            </w:r>
          </w:p>
        </w:tc>
        <w:tc>
          <w:tcPr>
            <w:tcW w:w="1558"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535</w:t>
            </w:r>
          </w:p>
        </w:tc>
        <w:tc>
          <w:tcPr>
            <w:tcW w:w="1700"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150</w:t>
            </w:r>
          </w:p>
        </w:tc>
        <w:tc>
          <w:tcPr>
            <w:tcW w:w="1847"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1200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034"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d600</w:t>
            </w:r>
          </w:p>
        </w:tc>
        <w:tc>
          <w:tcPr>
            <w:tcW w:w="2229"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530</w:t>
            </w:r>
          </w:p>
        </w:tc>
        <w:tc>
          <w:tcPr>
            <w:tcW w:w="1558"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685</w:t>
            </w:r>
          </w:p>
        </w:tc>
        <w:tc>
          <w:tcPr>
            <w:tcW w:w="1700"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130</w:t>
            </w:r>
          </w:p>
        </w:tc>
        <w:tc>
          <w:tcPr>
            <w:tcW w:w="1847" w:type="dxa"/>
            <w:noWrap w:val="0"/>
            <w:vAlign w:val="top"/>
          </w:tcPr>
          <w:p>
            <w:pPr>
              <w:pageBreakBefore w:val="0"/>
              <w:numPr>
                <w:ilvl w:val="0"/>
                <w:numId w:val="0"/>
              </w:numPr>
              <w:kinsoku/>
              <w:overflowPunct/>
              <w:bidi w:val="0"/>
              <w:spacing w:line="360" w:lineRule="auto"/>
              <w:rPr>
                <w:rFonts w:hint="eastAsia" w:eastAsia="宋体"/>
                <w:sz w:val="21"/>
                <w:szCs w:val="21"/>
                <w:lang w:val="zh-CN" w:eastAsia="zh-CN"/>
              </w:rPr>
            </w:pPr>
            <w:r>
              <w:rPr>
                <w:rFonts w:hint="eastAsia" w:eastAsia="宋体"/>
                <w:sz w:val="21"/>
                <w:szCs w:val="21"/>
                <w:lang w:val="zh-CN" w:eastAsia="zh-CN"/>
              </w:rPr>
              <w:t>1345</w:t>
            </w:r>
          </w:p>
        </w:tc>
      </w:tr>
    </w:tbl>
    <w:p>
      <w:pPr>
        <w:bidi w:val="0"/>
        <w:ind w:firstLine="560" w:firstLineChars="200"/>
        <w:rPr>
          <w:rFonts w:hint="eastAsia"/>
          <w:lang w:val="en-US" w:eastAsia="zh-CN"/>
        </w:rPr>
      </w:pPr>
      <w:r>
        <w:rPr>
          <w:rFonts w:hint="eastAsia"/>
          <w:lang w:val="en-US" w:eastAsia="zh-CN"/>
        </w:rPr>
        <w:t>由上表可以看出：d300-d600 的玻璃钢夹砂排水管、HDPE 双壁波纹排水管、钢筋混凝土排水管在综合造价方面相差不大。</w:t>
      </w:r>
    </w:p>
    <w:p>
      <w:pPr>
        <w:bidi w:val="0"/>
        <w:rPr>
          <w:rFonts w:hint="eastAsia"/>
          <w:lang w:val="en-US" w:eastAsia="zh-CN"/>
        </w:rPr>
      </w:pPr>
      <w:r>
        <w:rPr>
          <w:rFonts w:hint="eastAsia"/>
          <w:lang w:val="en-US" w:eastAsia="zh-CN"/>
        </w:rPr>
        <w:t>四、排水管材的选择</w:t>
      </w:r>
    </w:p>
    <w:p>
      <w:pPr>
        <w:bidi w:val="0"/>
        <w:ind w:firstLine="560" w:firstLineChars="200"/>
        <w:rPr>
          <w:rFonts w:hint="eastAsia"/>
          <w:lang w:val="en-US" w:eastAsia="zh-CN"/>
        </w:rPr>
      </w:pPr>
      <w:r>
        <w:rPr>
          <w:rFonts w:hint="eastAsia"/>
          <w:lang w:val="en-US" w:eastAsia="zh-CN"/>
        </w:rPr>
        <w:t>以上三种管材的技术性能上来说，双壁波纹管的技术性能更好， 而玻璃钢夹砂管对地基要求较高、钢筋混凝土管施工不方便。</w:t>
      </w:r>
    </w:p>
    <w:p>
      <w:pPr>
        <w:bidi w:val="0"/>
        <w:ind w:firstLine="560" w:firstLineChars="200"/>
        <w:rPr>
          <w:rFonts w:hint="eastAsia"/>
          <w:lang w:val="en-US" w:eastAsia="zh-CN"/>
        </w:rPr>
      </w:pPr>
      <w:r>
        <w:rPr>
          <w:rFonts w:hint="eastAsia"/>
          <w:lang w:val="en-US" w:eastAsia="zh-CN"/>
        </w:rPr>
        <w:t>从经济性上比较，玻璃钢夹砂排水管相对双壁波纹排水管、钢筋混凝土排水管在综合造价方面占有较大的优势。</w:t>
      </w:r>
    </w:p>
    <w:p>
      <w:pPr>
        <w:bidi w:val="0"/>
        <w:ind w:firstLine="560" w:firstLineChars="200"/>
        <w:rPr>
          <w:rFonts w:hint="eastAsia"/>
          <w:lang w:val="en-US" w:eastAsia="zh-CN"/>
        </w:rPr>
      </w:pPr>
      <w:r>
        <w:rPr>
          <w:rFonts w:hint="eastAsia"/>
          <w:lang w:val="en-US" w:eastAsia="zh-CN"/>
        </w:rPr>
        <w:t>通过上述技术与经济比较，结合项目区的工程地质条件等因素不同，本期工程的排水管道采用双壁波纹管。</w:t>
      </w:r>
    </w:p>
    <w:bookmarkEnd w:id="114"/>
    <w:bookmarkEnd w:id="115"/>
    <w:p>
      <w:pPr>
        <w:pStyle w:val="4"/>
        <w:bidi w:val="0"/>
        <w:rPr>
          <w:rFonts w:hint="eastAsia"/>
          <w:lang w:val="en-US" w:eastAsia="zh-CN"/>
        </w:rPr>
      </w:pPr>
      <w:bookmarkStart w:id="118" w:name="_Toc4191"/>
      <w:bookmarkStart w:id="119" w:name="_Toc8518"/>
      <w:r>
        <w:rPr>
          <w:rFonts w:hint="eastAsia"/>
          <w:lang w:val="en-US" w:eastAsia="zh-CN"/>
        </w:rPr>
        <w:t>4.3</w:t>
      </w:r>
      <w:bookmarkEnd w:id="118"/>
      <w:r>
        <w:rPr>
          <w:rFonts w:hint="eastAsia"/>
          <w:lang w:val="en-US" w:eastAsia="zh-CN"/>
        </w:rPr>
        <w:t>排水管网的主要工程量</w:t>
      </w:r>
      <w:bookmarkEnd w:id="119"/>
    </w:p>
    <w:p>
      <w:pPr>
        <w:bidi w:val="0"/>
        <w:ind w:firstLine="560" w:firstLineChars="200"/>
        <w:rPr>
          <w:rFonts w:hint="eastAsia"/>
          <w:lang w:val="en-US" w:eastAsia="zh-CN"/>
        </w:rPr>
      </w:pPr>
      <w:r>
        <w:rPr>
          <w:rFonts w:hint="eastAsia"/>
          <w:lang w:val="en-US" w:eastAsia="zh-CN"/>
        </w:rPr>
        <w:t>本项目DN300双壁波纹管数量为9627米，DN200双壁波纹管数量为6100米，检查井共221座。本设计排水管道均采用管顶拼接方式。</w:t>
      </w:r>
    </w:p>
    <w:p>
      <w:pPr>
        <w:pStyle w:val="2"/>
        <w:rPr>
          <w:rFonts w:hint="default"/>
          <w:lang w:val="en-US" w:eastAsia="zh-CN"/>
        </w:rPr>
        <w:sectPr>
          <w:footerReference r:id="rId12" w:type="default"/>
          <w:pgSz w:w="11906" w:h="16838"/>
          <w:pgMar w:top="1440" w:right="1800" w:bottom="1440" w:left="1800" w:header="680" w:footer="680" w:gutter="0"/>
          <w:pgBorders>
            <w:top w:val="none" w:sz="0" w:space="0"/>
            <w:left w:val="none" w:sz="0" w:space="0"/>
            <w:bottom w:val="none" w:sz="0" w:space="0"/>
            <w:right w:val="none" w:sz="0" w:space="0"/>
          </w:pgBorders>
          <w:pgNumType w:fmt="decimal"/>
          <w:cols w:space="425" w:num="1"/>
          <w:docGrid w:type="lines" w:linePitch="312" w:charSpace="0"/>
        </w:sectPr>
      </w:pPr>
    </w:p>
    <w:p>
      <w:pPr>
        <w:pStyle w:val="4"/>
        <w:bidi w:val="0"/>
        <w:rPr>
          <w:rFonts w:hint="default"/>
          <w:lang w:val="en-US" w:eastAsia="zh-CN"/>
        </w:rPr>
      </w:pPr>
      <w:bookmarkStart w:id="120" w:name="_Toc16226"/>
      <w:r>
        <w:rPr>
          <w:rFonts w:hint="eastAsia"/>
          <w:lang w:val="en-US" w:eastAsia="zh-CN"/>
        </w:rPr>
        <w:t>4.4污水水力计算</w:t>
      </w:r>
      <w:bookmarkEnd w:id="120"/>
    </w:p>
    <w:tbl>
      <w:tblPr>
        <w:tblStyle w:val="1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6"/>
        <w:gridCol w:w="756"/>
        <w:gridCol w:w="461"/>
        <w:gridCol w:w="657"/>
        <w:gridCol w:w="657"/>
        <w:gridCol w:w="657"/>
        <w:gridCol w:w="657"/>
        <w:gridCol w:w="657"/>
        <w:gridCol w:w="1536"/>
        <w:gridCol w:w="658"/>
        <w:gridCol w:w="1536"/>
        <w:gridCol w:w="658"/>
        <w:gridCol w:w="658"/>
        <w:gridCol w:w="658"/>
        <w:gridCol w:w="658"/>
        <w:gridCol w:w="658"/>
        <w:gridCol w:w="18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gridSpan w:val="17"/>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b/>
                <w:bCs/>
                <w:i w:val="0"/>
                <w:iCs w:val="0"/>
                <w:color w:val="000000"/>
                <w:kern w:val="0"/>
                <w:sz w:val="15"/>
                <w:szCs w:val="15"/>
                <w:u w:val="none"/>
                <w:lang w:val="en-US" w:eastAsia="zh-CN" w:bidi="ar"/>
              </w:rPr>
              <w:t>污  水  计  算  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管段编号</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接入支管编号</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管长(m)</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过流能力(l/s)</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管径(mm)</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坡度</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流速(m/s)</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充满度(h/D)</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起点井坐标</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起点地面高(m)</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终点井坐标</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终点地面高(m)</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起点管底高(m)</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终点管底高(m)</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起点管底埋深(m)</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终点管底埋深(m)</w:t>
            </w:r>
          </w:p>
        </w:tc>
        <w:tc>
          <w:tcPr>
            <w:tcW w:w="25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管材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c>
          <w:tcPr>
            <w:tcW w:w="25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P1-P2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83.79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5193211.831,442552.651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797.699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5193170.551,442536.396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797.004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795.377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794.682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P2-P3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67.97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5193170.551,442536.396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797.004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5193138.040,442534.043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796.668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794.682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794.346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P3-P4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5193138.040,442534.043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796.668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5193119.904,442525.448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796.355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794.346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794.033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P4-P5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74.24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5193119.904,442525.448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796.355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5193055.694,442510.944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795.546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794.033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793.223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P5-P6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92.51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5193055.694,442510.944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795.546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5193025.536,442463.247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794.468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793.223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792.145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P6-P7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5193025.536,442463.247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794.468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5192980.620,442459.397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792.145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791.518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P7-P8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85.98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5192980.620,442459.397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5192955.196,442450.599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793.396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791.518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791.074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P8-P9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5192955.196,442450.599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793.396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5192920.947,442438.474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792.903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791.074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790.581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P9-P10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108.74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5192920.947,442438.474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792.903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5192896.010,442430.118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790.581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789.887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P10-P11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63.33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5192896.010,442430.118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5192868.437,442420.577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791.948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789.887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789.626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P11-P12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86.32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5192868.437,442420.577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791.948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5192833.875,442414.731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791.365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789.626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789.043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P12-P13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106.03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5192833.875,442414.731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791.365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5192801.458,442410.537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790.545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789.043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788.223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P13-P14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74.42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5192801.458,442410.537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790.545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5192773.794,442399.333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790.176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788.223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787.854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P14-P15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49.91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5192773.794,442399.333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790.176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5192744.753,442385.492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789.998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787.854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787.675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P15-P16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72.56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5192744.753,442385.492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789.998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5192723.466,442375.346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789.721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787.675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787.398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P16-P17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5192723.466,442375.346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789.721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5192688.533,442369.199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788.883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787.398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P17-P18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85.01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5192688.533,442369.199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788.883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5192653.599,442363.051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785.988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P18-P19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5192653.599,442363.051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5192624.342,442357.903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787.899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785.988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785.576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P19-P20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5192624.342,442357.903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787.899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5192611.855,442362.397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787.912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785.576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785.536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P20-P21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75.52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5192611.855,442362.397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787.912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5192612.064,442378.582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787.707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785.536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P21-P22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109.07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5192612.064,442378.582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787.707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5192549.012,442366.372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783.625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P22-P23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P190-P22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99.82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5192549.012,442366.372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5192495.719,442356.052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784.793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783.363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782.156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P23-P24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94.64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5192495.719,442356.052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784.793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5192435.597,442344.410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783.569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782.156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780.932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P24-P25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69.43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5192435.597,442344.410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783.569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5192389.876,442335.556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783.068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780.932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780.431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P25-P26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84.24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5192389.876,442335.556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783.068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5192319.877,442335.476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781.959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780.431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779.322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P26-P27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75.05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5192319.877,442335.476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781.959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5192249.877,442335.396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781.079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779.322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778.442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P27-P28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62.54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5192249.877,442335.396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781.079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5192179.877,442335.316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780.468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778.442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777.831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P28-P29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50.58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5192179.877,442335.316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780.468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5192109.877,442335.236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780.068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777.831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777.431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P29-P30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5192109.877,442335.236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780.068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5192039.877,442335.156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779.297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777.431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776.66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P30-P31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89.78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5192039.877,442335.156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779.297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5191994.856,442335.105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778.487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776.66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775.85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P31-P32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83.09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5191994.856,442335.105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778.487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5191926.022,442347.828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777.408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775.85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774.771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P32-P33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110.11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5191926.022,442347.828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777.408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5191888.115,442354.834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776.365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774.771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773.728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P33-P34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5191888.115,442354.834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776.365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5191848.841,442362.093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776.231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773.728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773.594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P34-P35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98.33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5191848.841,442362.093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776.231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5191794.104,442358.252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775.047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773.594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772.41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P35-P36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49.55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5191794.104,442358.252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775.047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5191760.986,442355.928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774.864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772.41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772.228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P36-P37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92.46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5191760.986,442355.928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774.864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5191691.685,442376.500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773.485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772.228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770.849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P37-P38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5191691.685,442376.500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773.485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5191621.716,442374.431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772.313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770.849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769.677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P38-P39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5191621.716,442374.431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772.313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5191551.747,442372.362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771.784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769.677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769.148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P39-P40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88.57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5191551.747,442372.362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771.784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5191490.022,442370.537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770.703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769.148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768.067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P40-P41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5191490.022,442370.537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770.703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5191420.888,442381.511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769.401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768.067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766.597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P41-P42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66.13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5191420.888,442381.511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769.401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5191363.029,442390.695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768.601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766.597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766.025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P42-P43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5191363.029,442390.695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768.601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5191298.885,442418.722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768.168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766.025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765.444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P43-P44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61.06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5191298.885,442418.722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768.168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5191236.770,442445.861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767.263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765.444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764.88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P45-P46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96.65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5193001.367,443380.175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800.716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5192957.402,443358.740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799.696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798.394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797.374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P46-P47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110.17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5192957.402,443358.740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799.696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5192905.837,443333.599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798.142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797.374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P47-P48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98.03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5192905.837,443333.599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798.142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5192856.799,443309.691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796.972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P48-P49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81.57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5192856.799,443309.691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796.972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5192801.942,443282.946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796.067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793.744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P49-P50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91.04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5192801.942,443282.946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796.067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5192739.464,443252.485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794.781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793.744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792.458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P50-P51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91.22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5192739.464,443252.485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794.781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5192703.638,443242.218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794.089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792.458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791.766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P51-P52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5192703.638,443242.218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794.089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5192663.642,443214.413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793.078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791.766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790.756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P52-P53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5192663.642,443214.413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793.078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5192614.784,443210.317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790.756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790.078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P53-P54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5192614.784,443210.317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5192559.052,443205.644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791.615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790.078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789.293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P54-P55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5192559.052,443205.644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791.615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5192513.665,443220.686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791.145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789.293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788.823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P55-P56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5192513.665,443220.686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791.145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5192484.833,443230.241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790.809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788.823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788.487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P56-P57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5192484.833,443230.241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790.809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5192478.323,443269.091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790.963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788.487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788.368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P57-P58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5192478.323,443269.091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790.963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5192470.673,443314.741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788.368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P58-P59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P221-P58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85.25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0.0162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5192470.673,443314.741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5192421.989,443309.739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790.136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787.436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P59-P60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92.24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5192421.989,443309.739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790.136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5192386.944,443306.138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789.468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787.436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786.767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P60-P61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5192386.944,443306.138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789.468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5192340.155,443301.331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788.665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786.767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785.965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P61-P62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5192340.155,443301.331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788.665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5192303.215,443297.535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788.259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785.965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785.853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P62-P63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5192303.215,443297.535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788.259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5192289.995,443282.270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788.111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785.789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P63-P64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5192289.995,443282.270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788.111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5192315.185,443216.960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788.209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785.789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785.577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P64-P65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5192315.185,443216.960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788.209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5192340.375,443151.649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788.155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785.577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785.366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P65-P66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5192340.375,443151.649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788.155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5192365.565,443086.338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788.413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785.366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785.156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3.257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P66-P67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5192365.565,443086.338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788.413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5192383.409,443040.072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788.716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785.156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785.007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3.257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3.709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P67-P68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P219-P67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5192383.409,443040.072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788.716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5192405.330,442983.237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788.394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785.007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784.825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3.709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3.569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P68-P69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5192405.330,442983.237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788.394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5192425.960,442929.747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788.057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784.825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784.653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3.569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3.404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P69-P70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P117-P69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5192425.960,442929.747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788.057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5192360.850,442904.046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786.579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784.653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784.06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3.404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P70-P71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85.35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5192360.850,442904.046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786.579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5192295.739,442878.345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785.482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784.06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782.922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P71-P72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5192295.739,442878.345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785.482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5192230.628,442852.643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784.43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782.922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782.083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P72-P73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87.43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5192230.628,442852.643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784.43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5192165.517,442826.942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783.236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782.083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780.889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P73-P74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81.16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5192165.517,442826.942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783.236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5192100.406,442801.240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782.208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780.889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779.86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P74-P75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5192100.406,442801.240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782.208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5192035.295,442775.539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781.437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779.86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779.09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P75-P76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91.39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5192035.295,442775.539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781.437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5192015.728,442767.816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781.045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779.09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778.698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P76-P77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5192015.728,442767.816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781.045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5191950.792,442741.676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780.025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778.698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777.678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P77-P78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91.88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5191950.792,442741.676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780.025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5191885.856,442715.536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778.706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777.678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776.359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P78-P79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5191885.856,442715.536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778.706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5191820.919,442689.397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777.585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776.359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775.238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P79-P80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87.25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5191820.919,442689.397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777.585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5191755.983,442663.257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776.396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775.238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774.049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P80-P81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85.72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5191755.983,442663.257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776.396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5191691.047,442637.118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775.249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774.049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772.901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P81-P82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74.24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5191691.047,442637.118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775.249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5191651.826,442621.330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774.729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772.901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772.381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P82-P83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83.34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5191651.826,442621.330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774.729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5191587.226,442594.372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773.643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772.381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771.296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P83-P84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5191587.226,442594.372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773.643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5191522.625,442567.415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772.641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771.296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770.294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P84-P85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5191522.625,442567.415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772.641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5191458.024,442540.457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771.713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770.294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769.366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P85-P86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91.85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5191458.024,442540.457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771.713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5191393.423,442513.499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770.396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769.366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768.048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P86-P87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5191393.423,442513.499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770.396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5191343.301,442492.584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769.411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768.048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767.064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P87-P88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109.52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5191343.301,442492.584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769.411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5191278.577,442465.923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767.537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767.064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765.19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P88-P89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48.91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5191278.577,442465.923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767.537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5191236.858,442448.739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767.296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765.19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764.949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P89-P44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71.66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5191236.858,442448.739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767.296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5191236.770,442445.861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767.263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764.949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764.916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P185-P186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5192515.205,442648.472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788.283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5192525.258,442614.036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788.212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785.961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785.853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P186-P187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5192525.258,442614.036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788.212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5192551.919,442560.760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788.612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785.853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785.675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P187-P188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53.97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5192551.919,442560.760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788.612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5192553.598,442522.493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788.363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785.675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785.426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P188-P189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67.74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5192553.598,442522.493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788.363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5192543.010,442458.542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787.699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785.426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784.762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P189-P190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82.36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5192543.010,442458.542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787.699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5192545.959,442413.263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787.061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784.762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784.075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P190-P22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82.39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5192545.959,442413.263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787.061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5192549.012,442366.372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784.075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783.363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P90-P91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5193327.329,442580.029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800.149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5193316.558,442615.741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800.186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797.827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797.715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P91-P92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65.45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5193316.558,442615.741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800.186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5193309.042,442640.665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799.937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797.715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797.466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P92-P93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56.44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5193309.042,442640.665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799.937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5193279.001,442636.029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799.721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797.466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P93-P94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P119-P93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38.04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5193279.001,442636.029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799.721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5193261.887,442633.388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799.665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797.194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P94-P95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P120-P94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72.99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5193261.887,442633.388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799.665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5193216.425,442626.373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799.119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796.264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795.717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3.401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3.402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P95-P96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81.98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5193216.425,442626.373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799.119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5193176.893,442620.272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798.519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795.717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795.117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3.402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3.402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P96-P97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63.78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5193176.893,442620.272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798.519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5193104.747,442609.139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798.143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795.117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794.454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3.402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P97-P98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63.78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5193104.747,442609.139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798.143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5193082.430,442605.695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797.229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794.454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794.249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P98-P99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92.53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5193082.430,442605.695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797.229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5193055.268,442599.157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796.696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794.249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793.715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P99-P100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85.59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5193055.268,442599.157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796.696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5193005.859,442587.263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795.865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793.715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792.884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P100-P101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84.22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5193005.859,442587.263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795.865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5192950.035,442573.826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794.656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792.884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791.975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P101-P102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110.31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5192950.035,442573.826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794.656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5192888.352,442548.966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791.975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790.169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P102-P103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116.01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5192888.352,442548.966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5192823.200,442522.707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790.169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788.059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P103-P104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5192823.200,442522.707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5192783.418,442535.540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790.376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788.059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787.808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P104-P105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57.46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5192783.418,442535.540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790.376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5192743.635,442548.374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790.288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787.808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P105-P106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57.62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5192743.635,442548.374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790.288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5192716.472,442533.081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787.269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P106-P107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5192716.472,442533.081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5192689.308,442517.788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789.107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786.879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786.785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P107-P108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5192689.308,442517.788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789.107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5192669.417,442532.118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789.198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786.785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786.711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P108-P109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5192669.417,442532.118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789.198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5192611.454,442531.049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788.992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786.711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786.538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P109-P110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5192611.454,442531.049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788.992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5192584.881,442521.219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788.719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786.521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786.397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P110-P111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5192584.881,442521.219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788.719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5192562.790,442576.122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786.397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786.183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P111-P112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P149-P111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5192562.790,442576.122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5192540.088,442631.413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788.756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786.183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786.004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P112-P113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37.09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5192540.088,442631.413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788.756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5192525.417,442669.739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788.429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786.004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785.878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P113-P114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P175-P113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5192525.417,442669.739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788.429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5192496.145,442746.212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788.275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785.878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785.632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P114-P115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P184-P114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5192496.145,442746.212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788.275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5192471.156,442811.600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788.263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785.632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785.422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P115-P116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5192471.156,442811.600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788.263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5192446.168,442876.988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787.996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785.422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785.212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P116-P117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5192446.168,442876.988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787.996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5192430.892,442916.961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785.212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785.084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P117-P69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P196-P117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5192430.892,442916.961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5192425.960,442929.747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788.057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785.084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785.043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P197-P198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75.49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5193129.057,443326.489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802.305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5193071.062,443302.612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801.508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799.983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799.185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P198-P199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71.03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5193071.062,443302.612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801.508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5193029.175,443285.367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800.997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799.185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798.675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P199-P200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83.79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5193029.175,443285.367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800.997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5192975.825,443263.402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800.094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798.675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797.771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P200-P201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99.46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5192975.825,443263.402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800.094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5192941.228,443249.158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799.268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797.771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796.945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P201-P202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101.21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5192941.228,443249.158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799.268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5192895.280,443230.241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798.131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796.945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795.809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P202-P203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101.67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5192895.280,443230.241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798.131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5192889.127,443225.954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797.959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795.809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795.636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P203-P204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102.28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5192889.127,443225.954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797.959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5192831.114,443185.539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796.308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795.636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793.985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P204-P205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115.49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5192831.114,443185.539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796.308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5192808.870,443179.657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795.622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793.985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P205-P206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121.12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0.0327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5192808.870,443179.657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795.622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5192791.711,443183.407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795.048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792.725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P206-P207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81.43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5192791.711,443183.407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795.048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5192742.864,443194.082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794.308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792.725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791.985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P207-P208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42.49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5192742.864,443194.082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794.308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5192727.254,443187.693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794.239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791.985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791.917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P208-P209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82.69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5192727.254,443187.693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794.239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5192679.831,443168.284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793.458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791.917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791.135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P209-P210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76.23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5192679.831,443168.284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793.458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5192661.065,443160.604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793.195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791.135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790.872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P210-P211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42.12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5192661.065,443160.604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793.195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5192647.897,443154.754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793.138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790.872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790.815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P211-P212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87.66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5192647.897,443154.754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793.138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5192617.411,443141.210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792.566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790.815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790.243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P212-P213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91.53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5192617.411,443141.210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792.566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5192576.157,443122.883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791.722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790.243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789.399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P213-P214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5192576.157,443122.883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791.722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5192559.912,443115.665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791.465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789.399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789.142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P214-P215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77.14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5192559.912,443115.665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791.465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5192526.541,443100.840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790.979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789.142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788.657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P215-P216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5192526.541,443100.840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790.979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5192495.360,443087.602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790.131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788.657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787.809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P216-P217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94.33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5192495.360,443087.602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790.131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5192471.496,443077.470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789.617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787.809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787.294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P217-P218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86.11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5192471.496,443077.470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789.617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5192466.269,443075.251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789.522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787.294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P218-P219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71.31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0.0114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5192466.269,443075.251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789.522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5192408.780,443050.844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788.813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786.491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P219-P67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39.71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5192408.780,443050.844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788.813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5192383.409,443040.072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788.716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786.491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786.394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P220-P221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55.44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5192475.157,443405.693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791.457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5192475.963,443351.155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791.083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789.135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788.761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P221-P58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43.33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5192475.963,443351.155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791.083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5192470.673,443314.741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788.761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788.607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P191-P192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65.75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5192661.503,443041.166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792.729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5192632.201,443027.049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792.415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790.407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790.093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P192-P193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92.29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5192632.201,443027.049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792.415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5192595.412,442976.786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791.232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790.093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788.909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P193-P194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99.19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5192595.412,442976.786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791.232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5192550.698,442960.527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790.186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788.909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787.864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P194-P195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98.26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5192550.698,442960.527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790.186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5192500.816,442942.388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789.042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787.864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P195-P196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5192500.816,442942.388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789.042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5192472.992,442932.270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786.287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P196-P117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84.85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5192472.992,442932.270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5192430.892,442916.961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786.287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785.567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P176-P177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70.93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5192891.644,442877.543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795.477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5192856.994,442869.630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795.079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793.155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792.756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P177-P178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92.73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5192856.994,442869.630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795.079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5192822.345,442861.716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794.396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792.756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792.074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P178-P179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95.25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5192822.345,442861.716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794.396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5192787.690,442850.573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792.074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791.337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P179-P180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102.79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5192787.690,442850.573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5192734.387,442833.435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792.339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791.337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790.017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P180-P181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85.28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0.0162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5192734.387,442833.435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792.339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5192683.961,442813.806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791.461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790.017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789.139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P181-P182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92.85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5192683.961,442813.806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791.461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5192621.720,442795.411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790.212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789.139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P182-P183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95.06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5192621.720,442795.411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790.212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5192571.071,442775.567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789.116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786.793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P183-P184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87.94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5192571.071,442775.567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789.116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5192539.625,442763.247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788.533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786.793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P184-P114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49.73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5192539.625,442763.247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788.533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5192496.145,442746.212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788.275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785.952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P150-P151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83.25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5193299.738,442914.973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801.524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5193229.664,442896.962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800.406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799.202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798.083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P151-P152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69.72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5193229.664,442896.962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800.406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5193165.843,442880.558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798.083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797.368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P152-P153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5193165.843,442880.558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5193095.730,442862.536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798.645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797.368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P153-P154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5193095.730,442862.536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798.645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5193043.417,442849.090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797.866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795.544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P154-P155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5193043.417,442849.090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797.866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5193008.362,442840.080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795.544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795.024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P155-P156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75.31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5193008.362,442840.080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5192975.082,442831.525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796.911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795.024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794.589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P156-P157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5192975.082,442831.525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796.911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5192945.346,442823.882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796.481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794.589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794.159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P157-P158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5192945.346,442823.882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796.481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5192948.234,442802.069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794.159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794.027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P158-P159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5192948.234,442802.069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5192926.388,442797.764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796.029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794.027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793.706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P159-P160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90.72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5192926.388,442797.764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796.029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5192888.851,442790.366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795.326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793.706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P160-P161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90.15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5192888.851,442790.366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795.326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5192861.272,442784.931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794.815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792.493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P161-P162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94.59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5192861.272,442784.931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794.815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5192852.608,442782.268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794.634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792.493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792.312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P162-P163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88.73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5192852.608,442782.268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794.634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5192828.668,442774.911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794.194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792.312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791.872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P163-P164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85.96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5192828.668,442774.911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794.194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5192817.426,442771.456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794.001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791.872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791.678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P164-P165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5192817.426,442771.456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794.001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5192806.798,442764.508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793.753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791.678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P165-P166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89.83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5192806.798,442764.508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793.753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5192795.181,442756.912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793.503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P166-P167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96.37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5192795.181,442756.912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793.503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5192757.944,442749.810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792.717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790.394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P167-P168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88.85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5192757.944,442749.810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792.717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5192723.928,442743.322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792.106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790.394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789.784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P168-P169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102.22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5192723.928,442743.322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792.106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5192689.856,442736.823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791.298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789.784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788.975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P169-P170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102.04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5192689.856,442736.823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791.298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5192675.192,442734.026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788.975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788.628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P170-P171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5192675.192,442734.026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5192647.600,442726.540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790.395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788.628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788.072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P171-P172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72.31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5192647.600,442726.540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790.395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5192640.328,442719.268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790.274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788.072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787.952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P172-P173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90.82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5192640.328,442719.268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790.274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5192607.042,442712.049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789.647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787.952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787.325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P173-P174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96.31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5192607.042,442712.049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789.647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5192582.288,442709.126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789.131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787.325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786.809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P174-P175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91.46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5192582.288,442709.126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789.131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5192566.752,442707.291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786.809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786.517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P175-P113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57.35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5192566.752,442707.291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5192525.417,442669.739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788.429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786.517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786.107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P121-P122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5193439.788,442865.142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803.706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5193378.563,442848.286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802.563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801.384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800.241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P122-P123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116.55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0.0303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5193378.563,442848.286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802.563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5193340.599,442837.835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801.368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799.046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P123-P124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58.74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5193340.599,442837.835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801.368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5193291.792,442824.398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800.978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799.046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798.656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P124-P125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37.27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5193291.792,442824.398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800.978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5193259.099,442782.364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800.813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798.656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798.491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P125-P126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5193259.099,442782.364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800.813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5193233.093,442770.746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800.734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798.491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798.405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P126-P127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39.7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95.09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5193233.093,442770.746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800.734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5193196.859,442754.559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799.934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798.405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797.604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P127-P128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83.34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5193196.859,442754.559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799.934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5193181.649,442751.043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799.691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797.604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797.362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P128-P129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5193181.649,442751.043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799.691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5193117.293,442736.165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799.035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797.362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796.706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P129-P130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101.69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5193117.293,442736.165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799.035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5193097.501,442728.595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798.546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796.706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796.217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P130-P131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86.22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5193097.501,442728.595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798.546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5193082.640,442722.911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798.282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796.217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795.953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P131-P132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86.45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5193082.640,442722.911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798.282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5193070.880,442718.413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798.072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795.953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795.743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P132-P133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45.4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99.78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5193070.880,442718.413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798.072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5193026.297,442709.835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797.064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795.743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794.734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P133-P134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74.36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5193026.297,442709.835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797.064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5192986.337,442702.147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796.561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794.734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794.232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P134-P135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82.63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5192986.337,442702.147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796.561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5192969.712,442698.949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796.304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794.232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793.974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P135-P136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89.56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5192969.712,442698.949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796.304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5192951.837,442691.748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795.958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793.974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793.629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P136-P137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89.95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5192951.837,442691.748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795.958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5192945.623,442689.244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795.838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793.629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793.508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P137-P138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87.79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5192945.623,442689.244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795.838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5192910.252,442674.994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795.182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793.508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792.852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P138-P139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82.01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5192910.252,442674.994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795.182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5192876.610,442671.958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794.674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792.852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792.345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P139-P140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5192876.610,442671.958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794.674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5192853.358,442669.861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794.345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792.345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792.015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P140-P141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94.99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5192853.358,442669.861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794.345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5192834.243,442664.830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793.947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792.015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791.617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P141-P142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101.98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5192834.243,442664.830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793.947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5192816.784,442660.236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793.528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791.617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791.198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P142-P143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94.95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5192816.784,442660.236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793.528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5192773.773,442635.812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792.532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791.198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790.203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P143-P144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99.76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5192773.773,442635.812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792.532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5192756.896,442626.228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792.101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790.203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789.772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P144-P145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0.0217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5192756.896,442626.228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792.101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5192723.338,442617.565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789.772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P145-P146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97.35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0.0211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5192723.338,442617.565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791.35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5192692.533,442609.613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790.677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789.02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P146-P147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82.25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5192692.533,442609.613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790.677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5192681.886,442606.865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790.511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788.347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788.181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P147-P148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88.14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0.0173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5192681.886,442606.865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790.511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5192675.410,442605.193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790.395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788.181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788.065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P148-P149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83.68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5192675.410,442605.193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790.395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5192619.100,442590.658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789.486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788.065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787.156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P149-P111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72.16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0.0116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5192619.100,442590.658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789.486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5192562.790,442576.122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788.81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787.156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786.48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P120-P94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64.7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36.66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0.92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5193272.607,442569.605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798.78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5193261.887,442633.388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799.665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796.458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796.264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3.401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P118-P119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47.99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5193275.782,442714.135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800.122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5193277.392,442675.082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799.909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797.788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797.587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P119-P93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12"/>
                <w:szCs w:val="1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39.1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47.99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0.0051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0.25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5193277.392,442675.082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799.909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5193279.001,442636.029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799.721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797.587</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797.386</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2.322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2.335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高密度聚乙烯双壁波纹管(HDPE)</w:t>
            </w:r>
          </w:p>
        </w:tc>
      </w:tr>
    </w:tbl>
    <w:p>
      <w:pPr>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rPr>
          <w:rFonts w:hint="default"/>
          <w:lang w:val="en-US" w:eastAsia="zh-CN"/>
        </w:rPr>
      </w:pPr>
    </w:p>
    <w:bookmarkEnd w:id="107"/>
    <w:p>
      <w:pPr>
        <w:pStyle w:val="3"/>
        <w:bidi w:val="0"/>
        <w:jc w:val="center"/>
        <w:rPr>
          <w:rFonts w:hint="eastAsia"/>
          <w:lang w:val="en-US" w:eastAsia="zh-CN"/>
        </w:rPr>
      </w:pPr>
      <w:bookmarkStart w:id="121" w:name="_Toc12805"/>
      <w:bookmarkStart w:id="122" w:name="_Toc23221"/>
      <w:bookmarkStart w:id="123" w:name="_Toc21022"/>
      <w:bookmarkStart w:id="124" w:name="_Toc4979"/>
      <w:r>
        <w:rPr>
          <w:rFonts w:hint="eastAsia"/>
          <w:lang w:val="en-US" w:eastAsia="zh-CN"/>
        </w:rPr>
        <w:t>第五章 项目的管理及实施计划</w:t>
      </w:r>
      <w:bookmarkEnd w:id="121"/>
    </w:p>
    <w:p>
      <w:pPr>
        <w:pStyle w:val="4"/>
        <w:bidi w:val="0"/>
        <w:rPr>
          <w:rFonts w:hint="eastAsia"/>
          <w:lang w:val="en-US" w:eastAsia="zh-CN"/>
        </w:rPr>
      </w:pPr>
      <w:bookmarkStart w:id="125" w:name="_Toc29291"/>
      <w:r>
        <w:rPr>
          <w:rFonts w:hint="eastAsia"/>
          <w:lang w:val="en-US" w:eastAsia="zh-CN"/>
        </w:rPr>
        <w:t>5.1 实施原则</w:t>
      </w:r>
      <w:bookmarkEnd w:id="125"/>
    </w:p>
    <w:p>
      <w:pPr>
        <w:bidi w:val="0"/>
        <w:ind w:firstLine="560" w:firstLineChars="200"/>
        <w:rPr>
          <w:rFonts w:hint="eastAsia"/>
          <w:lang w:val="en-US" w:eastAsia="zh-CN"/>
        </w:rPr>
      </w:pPr>
      <w:r>
        <w:rPr>
          <w:rFonts w:hint="eastAsia"/>
          <w:lang w:val="en-US" w:eastAsia="zh-CN"/>
        </w:rPr>
        <w:t>(1)本项目的实施，首先应符合国内基本建设项目的审批程序。</w:t>
      </w:r>
    </w:p>
    <w:p>
      <w:pPr>
        <w:bidi w:val="0"/>
        <w:ind w:firstLine="560" w:firstLineChars="200"/>
        <w:rPr>
          <w:rFonts w:hint="eastAsia"/>
          <w:lang w:val="en-US" w:eastAsia="zh-CN"/>
        </w:rPr>
      </w:pPr>
      <w:r>
        <w:rPr>
          <w:rFonts w:hint="eastAsia"/>
          <w:lang w:val="en-US" w:eastAsia="zh-CN"/>
        </w:rPr>
        <w:t>(2)建立专门机构作为项日的执行单位，负责项日实施的组织协调和管理工作。</w:t>
      </w:r>
    </w:p>
    <w:p>
      <w:pPr>
        <w:bidi w:val="0"/>
        <w:ind w:firstLine="560" w:firstLineChars="200"/>
        <w:rPr>
          <w:rFonts w:hint="eastAsia"/>
          <w:lang w:val="en-US" w:eastAsia="zh-CN"/>
        </w:rPr>
      </w:pPr>
      <w:r>
        <w:rPr>
          <w:rFonts w:hint="eastAsia"/>
          <w:lang w:val="en-US" w:eastAsia="zh-CN"/>
        </w:rPr>
        <w:t>(3)由业主委派项目的法人代表，项目实施过程中的决策、指挥、执行以及设备的定货恰谈与联络等均由项目实施负责人全权负责。</w:t>
      </w:r>
    </w:p>
    <w:p>
      <w:pPr>
        <w:bidi w:val="0"/>
        <w:ind w:firstLine="560" w:firstLineChars="200"/>
        <w:rPr>
          <w:rFonts w:hint="eastAsia"/>
          <w:lang w:val="en-US" w:eastAsia="zh-CN"/>
        </w:rPr>
      </w:pPr>
      <w:r>
        <w:rPr>
          <w:rFonts w:hint="eastAsia"/>
          <w:lang w:val="en-US" w:eastAsia="zh-CN"/>
        </w:rPr>
        <w:t>(4)项目的设计、供货、施工安装等履行单位应与项目执行单位履行必要的法律手续、违约责任按国家的有关法律法规执行。</w:t>
      </w:r>
    </w:p>
    <w:p>
      <w:pPr>
        <w:bidi w:val="0"/>
        <w:ind w:firstLine="560" w:firstLineChars="200"/>
        <w:rPr>
          <w:rFonts w:hint="eastAsia"/>
          <w:lang w:val="en-US" w:eastAsia="zh-CN"/>
        </w:rPr>
      </w:pPr>
      <w:r>
        <w:rPr>
          <w:rFonts w:hint="eastAsia"/>
          <w:lang w:val="en-US" w:eastAsia="zh-CN"/>
        </w:rPr>
        <w:t>(5)项目的执行单位(用户)应与项目履行单位协商制定项目实施计划，并于履行前提前通知有关各方。</w:t>
      </w:r>
    </w:p>
    <w:p>
      <w:pPr>
        <w:bidi w:val="0"/>
        <w:ind w:firstLine="560" w:firstLineChars="200"/>
        <w:rPr>
          <w:rFonts w:hint="eastAsia"/>
          <w:lang w:val="en-US" w:eastAsia="zh-CN"/>
        </w:rPr>
      </w:pPr>
      <w:r>
        <w:rPr>
          <w:rFonts w:hint="eastAsia"/>
          <w:lang w:val="en-US" w:eastAsia="zh-CN"/>
        </w:rPr>
        <w:t>(6)项目执行单位应为履行单位开展工作而积极创造有利条件，项目履行单位也应服从项目执行单位的指挥和调度。</w:t>
      </w:r>
    </w:p>
    <w:p>
      <w:pPr>
        <w:pStyle w:val="4"/>
        <w:bidi w:val="0"/>
        <w:rPr>
          <w:rFonts w:hint="eastAsia"/>
          <w:lang w:val="en-US" w:eastAsia="zh-CN"/>
        </w:rPr>
      </w:pPr>
      <w:bookmarkStart w:id="126" w:name="_Toc10943"/>
      <w:r>
        <w:rPr>
          <w:rFonts w:hint="eastAsia"/>
          <w:lang w:val="en-US" w:eastAsia="zh-CN"/>
        </w:rPr>
        <w:t>5.2项目建设的管理机构</w:t>
      </w:r>
      <w:bookmarkEnd w:id="126"/>
    </w:p>
    <w:p>
      <w:pPr>
        <w:bidi w:val="0"/>
        <w:ind w:firstLine="560" w:firstLineChars="200"/>
        <w:rPr>
          <w:rFonts w:hint="eastAsia"/>
          <w:lang w:val="en-US" w:eastAsia="zh-CN"/>
        </w:rPr>
      </w:pPr>
      <w:r>
        <w:rPr>
          <w:rFonts w:hint="eastAsia"/>
          <w:lang w:val="en-US" w:eastAsia="zh-CN"/>
        </w:rPr>
        <w:t>为加强某镇排水管网工程的管理工作，和给水管网工程管理工作合二而组建项目的执行单位。由和田县的主要领导负责，下设五个职能部门。</w:t>
      </w:r>
    </w:p>
    <w:p>
      <w:pPr>
        <w:bidi w:val="0"/>
        <w:ind w:firstLine="560" w:firstLineChars="200"/>
        <w:rPr>
          <w:rFonts w:hint="eastAsia"/>
          <w:lang w:val="en-US" w:eastAsia="zh-CN"/>
        </w:rPr>
      </w:pPr>
      <w:r>
        <w:rPr>
          <w:rFonts w:hint="eastAsia"/>
          <w:lang w:val="en-US" w:eastAsia="zh-CN"/>
        </w:rPr>
        <w:t>[行政管理] 负责办公室的日常行政工作以及与项日履行单位的接待、联络等工作。</w:t>
      </w:r>
    </w:p>
    <w:p>
      <w:pPr>
        <w:bidi w:val="0"/>
        <w:ind w:firstLine="560" w:firstLineChars="200"/>
        <w:rPr>
          <w:rFonts w:hint="eastAsia"/>
          <w:lang w:val="en-US" w:eastAsia="zh-CN"/>
        </w:rPr>
      </w:pPr>
      <w:r>
        <w:rPr>
          <w:rFonts w:hint="eastAsia"/>
          <w:lang w:val="en-US" w:eastAsia="zh-CN"/>
        </w:rPr>
        <w:t>[计划财务] 负责项目的财务计划和实施计划安排，与项目履行单位办理合同协议与于续，以及资金使用安排收支于续。</w:t>
      </w:r>
    </w:p>
    <w:p>
      <w:pPr>
        <w:bidi w:val="0"/>
        <w:ind w:firstLine="560" w:firstLineChars="200"/>
        <w:rPr>
          <w:rFonts w:hint="eastAsia"/>
          <w:lang w:val="en-US" w:eastAsia="zh-CN"/>
        </w:rPr>
      </w:pPr>
      <w:r>
        <w:rPr>
          <w:rFonts w:hint="eastAsia"/>
          <w:lang w:val="en-US" w:eastAsia="zh-CN"/>
        </w:rPr>
        <w:t>[施工管理]负责项目的土建施工安装等的协调与指挥，施工进度与计划安排，施工质量与施工安装的监察、监督、检查以及工程的验收工作。</w:t>
      </w:r>
    </w:p>
    <w:p>
      <w:pPr>
        <w:bidi w:val="0"/>
        <w:ind w:firstLine="560" w:firstLineChars="200"/>
        <w:rPr>
          <w:rFonts w:hint="eastAsia"/>
          <w:lang w:val="en-US" w:eastAsia="zh-CN"/>
        </w:rPr>
      </w:pPr>
      <w:r>
        <w:rPr>
          <w:rFonts w:hint="eastAsia"/>
          <w:lang w:val="en-US" w:eastAsia="zh-CN"/>
        </w:rPr>
        <w:t>[设备材料管理] 负责项目设备材料的订货、采购、保管、调拨等验收工作。</w:t>
      </w:r>
    </w:p>
    <w:p>
      <w:pPr>
        <w:bidi w:val="0"/>
        <w:ind w:firstLine="560" w:firstLineChars="200"/>
        <w:rPr>
          <w:rFonts w:hint="eastAsia"/>
          <w:lang w:val="en-US" w:eastAsia="zh-CN"/>
        </w:rPr>
      </w:pPr>
      <w:r>
        <w:rPr>
          <w:rFonts w:hint="eastAsia"/>
          <w:lang w:val="en-US" w:eastAsia="zh-CN"/>
        </w:rPr>
        <w:t>[技术管理] 负责项目的技术文件、技术档案的管理工作，主持设计图纸会审处理有关技术问题以及组织职工的专业技术培训、技术考核、组织技术交流等项工作。</w:t>
      </w:r>
    </w:p>
    <w:p>
      <w:pPr>
        <w:pStyle w:val="4"/>
        <w:bidi w:val="0"/>
        <w:rPr>
          <w:rFonts w:hint="eastAsia"/>
          <w:lang w:val="en-US" w:eastAsia="zh-CN"/>
        </w:rPr>
      </w:pPr>
      <w:bookmarkStart w:id="127" w:name="_Toc3550"/>
      <w:r>
        <w:rPr>
          <w:rFonts w:hint="eastAsia"/>
          <w:lang w:val="en-US" w:eastAsia="zh-CN"/>
        </w:rPr>
        <w:t>5.3 项目运行的管理机构</w:t>
      </w:r>
      <w:bookmarkEnd w:id="127"/>
    </w:p>
    <w:p>
      <w:pPr>
        <w:bidi w:val="0"/>
        <w:rPr>
          <w:rFonts w:hint="eastAsia"/>
          <w:lang w:val="en-US" w:eastAsia="zh-CN"/>
        </w:rPr>
      </w:pPr>
      <w:r>
        <w:rPr>
          <w:rFonts w:hint="eastAsia"/>
          <w:lang w:val="en-US" w:eastAsia="zh-CN"/>
        </w:rPr>
        <w:t>水磨村村委会</w:t>
      </w:r>
    </w:p>
    <w:p>
      <w:pPr>
        <w:pStyle w:val="4"/>
        <w:bidi w:val="0"/>
        <w:rPr>
          <w:rFonts w:hint="eastAsia"/>
          <w:lang w:val="en-US" w:eastAsia="zh-CN"/>
        </w:rPr>
      </w:pPr>
      <w:bookmarkStart w:id="128" w:name="_Toc5659"/>
      <w:r>
        <w:rPr>
          <w:rFonts w:hint="eastAsia"/>
          <w:lang w:val="en-US" w:eastAsia="zh-CN"/>
        </w:rPr>
        <w:t>5.4 工程进展</w:t>
      </w:r>
      <w:bookmarkEnd w:id="128"/>
    </w:p>
    <w:p>
      <w:pPr>
        <w:bidi w:val="0"/>
        <w:rPr>
          <w:rFonts w:hint="eastAsia"/>
          <w:b/>
          <w:bCs/>
          <w:lang w:val="en-US" w:eastAsia="zh-CN"/>
        </w:rPr>
      </w:pPr>
      <w:r>
        <w:rPr>
          <w:rFonts w:hint="eastAsia"/>
          <w:b/>
          <w:bCs/>
          <w:lang w:val="en-US" w:eastAsia="zh-CN"/>
        </w:rPr>
        <w:t>5.4.1进展概述</w:t>
      </w:r>
    </w:p>
    <w:p>
      <w:pPr>
        <w:bidi w:val="0"/>
        <w:rPr>
          <w:rFonts w:hint="eastAsia"/>
          <w:lang w:val="en-US" w:eastAsia="zh-CN"/>
        </w:rPr>
      </w:pPr>
      <w:r>
        <w:rPr>
          <w:rFonts w:hint="eastAsia"/>
          <w:lang w:val="en-US" w:eastAsia="zh-CN"/>
        </w:rPr>
        <w:t>项目计划 2024年4月开工，2024年10月中旬建成。2024年10月底正式通水调试运行。</w:t>
      </w:r>
    </w:p>
    <w:p>
      <w:pPr>
        <w:bidi w:val="0"/>
        <w:rPr>
          <w:rFonts w:hint="eastAsia"/>
          <w:b/>
          <w:bCs/>
          <w:lang w:val="en-US" w:eastAsia="zh-CN"/>
        </w:rPr>
      </w:pPr>
      <w:r>
        <w:rPr>
          <w:rFonts w:hint="eastAsia"/>
          <w:b/>
          <w:bCs/>
          <w:lang w:val="en-US" w:eastAsia="zh-CN"/>
        </w:rPr>
        <w:t>5.4.2 污染源控制</w:t>
      </w:r>
    </w:p>
    <w:p>
      <w:pPr>
        <w:bidi w:val="0"/>
        <w:ind w:firstLine="560" w:firstLineChars="200"/>
        <w:rPr>
          <w:rFonts w:hint="eastAsia"/>
          <w:lang w:val="en-US" w:eastAsia="zh-CN"/>
        </w:rPr>
      </w:pPr>
      <w:r>
        <w:rPr>
          <w:rFonts w:hint="eastAsia"/>
          <w:lang w:val="en-US" w:eastAsia="zh-CN"/>
        </w:rPr>
        <w:t>按照国家的有关法律法规，结合规划区的实际情况和发展规划，工业污染源的控制措施如下:</w:t>
      </w:r>
    </w:p>
    <w:p>
      <w:pPr>
        <w:bidi w:val="0"/>
        <w:ind w:firstLine="560" w:firstLineChars="200"/>
        <w:rPr>
          <w:rFonts w:hint="eastAsia"/>
          <w:lang w:val="en-US" w:eastAsia="zh-CN"/>
        </w:rPr>
      </w:pPr>
      <w:r>
        <w:rPr>
          <w:rFonts w:hint="eastAsia"/>
          <w:lang w:val="en-US" w:eastAsia="zh-CN"/>
        </w:rPr>
        <w:t>(1)建立完善排污许可证制度和总量控制制度</w:t>
      </w:r>
    </w:p>
    <w:p>
      <w:pPr>
        <w:bidi w:val="0"/>
        <w:ind w:firstLine="560" w:firstLineChars="200"/>
        <w:rPr>
          <w:rFonts w:hint="eastAsia"/>
          <w:lang w:val="en-US" w:eastAsia="zh-CN"/>
        </w:rPr>
      </w:pPr>
      <w:r>
        <w:rPr>
          <w:rFonts w:hint="eastAsia"/>
          <w:lang w:val="en-US" w:eastAsia="zh-CN"/>
        </w:rPr>
        <w:t>(2)建立严格的排污收费制度。</w:t>
      </w:r>
    </w:p>
    <w:p>
      <w:pPr>
        <w:bidi w:val="0"/>
        <w:ind w:firstLine="560" w:firstLineChars="200"/>
        <w:rPr>
          <w:rFonts w:hint="eastAsia"/>
          <w:lang w:val="en-US" w:eastAsia="zh-CN"/>
        </w:rPr>
      </w:pPr>
      <w:r>
        <w:rPr>
          <w:rFonts w:hint="eastAsia"/>
          <w:lang w:val="en-US" w:eastAsia="zh-CN"/>
        </w:rPr>
        <w:t>(3)建议试行排污权交易制度。</w:t>
      </w:r>
    </w:p>
    <w:p>
      <w:pPr>
        <w:bidi w:val="0"/>
        <w:ind w:firstLine="560" w:firstLineChars="200"/>
        <w:rPr>
          <w:rFonts w:hint="eastAsia"/>
          <w:lang w:val="en-US" w:eastAsia="zh-CN"/>
        </w:rPr>
      </w:pPr>
      <w:r>
        <w:rPr>
          <w:rFonts w:hint="eastAsia"/>
          <w:lang w:val="en-US" w:eastAsia="zh-CN"/>
        </w:rPr>
        <w:t>(4)严格执行国家有关法律法规，严格执行环境影响评价制度。</w:t>
      </w:r>
    </w:p>
    <w:p>
      <w:pPr>
        <w:bidi w:val="0"/>
        <w:ind w:firstLine="560" w:firstLineChars="200"/>
        <w:rPr>
          <w:rFonts w:hint="eastAsia"/>
          <w:lang w:val="en-US" w:eastAsia="zh-CN"/>
        </w:rPr>
      </w:pPr>
      <w:r>
        <w:rPr>
          <w:rFonts w:hint="eastAsia"/>
          <w:lang w:val="en-US" w:eastAsia="zh-CN"/>
        </w:rPr>
        <w:t>(5)在镇区内推行清洁生产和 IS14000 环境管理体系。</w:t>
      </w:r>
    </w:p>
    <w:p>
      <w:pPr>
        <w:pStyle w:val="4"/>
        <w:bidi w:val="0"/>
        <w:rPr>
          <w:rFonts w:hint="eastAsia"/>
          <w:lang w:val="en-US" w:eastAsia="zh-CN"/>
        </w:rPr>
      </w:pPr>
      <w:bookmarkStart w:id="129" w:name="_Toc9928"/>
      <w:r>
        <w:rPr>
          <w:rFonts w:hint="eastAsia"/>
          <w:lang w:val="en-US" w:eastAsia="zh-CN"/>
        </w:rPr>
        <w:t>5.5 设计施工及安装</w:t>
      </w:r>
      <w:bookmarkEnd w:id="129"/>
    </w:p>
    <w:p>
      <w:pPr>
        <w:bidi w:val="0"/>
        <w:rPr>
          <w:rFonts w:hint="eastAsia"/>
          <w:b/>
          <w:bCs/>
          <w:lang w:val="en-US" w:eastAsia="zh-CN"/>
        </w:rPr>
      </w:pPr>
      <w:r>
        <w:rPr>
          <w:rFonts w:hint="eastAsia"/>
          <w:b/>
          <w:bCs/>
          <w:lang w:val="en-US" w:eastAsia="zh-CN"/>
        </w:rPr>
        <w:t>5.5.1 项目设计及施工</w:t>
      </w:r>
    </w:p>
    <w:p>
      <w:pPr>
        <w:bidi w:val="0"/>
        <w:ind w:firstLine="560" w:firstLineChars="200"/>
        <w:rPr>
          <w:rFonts w:hint="eastAsia"/>
          <w:lang w:val="en-US" w:eastAsia="zh-CN"/>
        </w:rPr>
      </w:pPr>
      <w:r>
        <w:rPr>
          <w:rFonts w:hint="eastAsia"/>
          <w:lang w:val="en-US" w:eastAsia="zh-CN"/>
        </w:rPr>
        <w:t>本项目工程对参与履行项目的供货、设计、施工安装等单位均要进行必要的资格审查，并应按审查程序与结构等成书面报告存档备案。设备供货单位可由设计单位推荐，并经项目的执行单位认可确定。</w:t>
      </w:r>
    </w:p>
    <w:p>
      <w:pPr>
        <w:bidi w:val="0"/>
        <w:ind w:firstLine="560" w:firstLineChars="200"/>
        <w:rPr>
          <w:rFonts w:hint="eastAsia"/>
          <w:lang w:val="en-US" w:eastAsia="zh-CN"/>
        </w:rPr>
      </w:pPr>
      <w:r>
        <w:rPr>
          <w:rFonts w:hint="eastAsia"/>
          <w:lang w:val="en-US" w:eastAsia="zh-CN"/>
        </w:rPr>
        <w:t>土建施工必须从有大型城市给排水施工经验的单位中选择，由项目执行单位进行资格审查后，通过招标方式最后确定。</w:t>
      </w:r>
    </w:p>
    <w:p>
      <w:pPr>
        <w:bidi w:val="0"/>
        <w:ind w:firstLine="560" w:firstLineChars="200"/>
        <w:rPr>
          <w:rFonts w:hint="eastAsia"/>
          <w:lang w:val="en-US" w:eastAsia="zh-CN"/>
        </w:rPr>
      </w:pPr>
      <w:r>
        <w:rPr>
          <w:rFonts w:hint="eastAsia"/>
          <w:lang w:val="en-US" w:eastAsia="zh-CN"/>
        </w:rPr>
        <w:t>在项目的设计、施工中必须按照国家现行的专业技术规范标准执行。其规范与标准如下:</w:t>
      </w:r>
    </w:p>
    <w:p>
      <w:pPr>
        <w:bidi w:val="0"/>
        <w:rPr>
          <w:rFonts w:hint="eastAsia"/>
          <w:lang w:val="en-US" w:eastAsia="zh-CN"/>
        </w:rPr>
      </w:pPr>
      <w:r>
        <w:rPr>
          <w:rFonts w:hint="eastAsia"/>
          <w:lang w:val="en-US" w:eastAsia="zh-CN"/>
        </w:rPr>
        <w:t>《室外排水设计规范》</w:t>
      </w:r>
    </w:p>
    <w:p>
      <w:pPr>
        <w:bidi w:val="0"/>
        <w:rPr>
          <w:rFonts w:hint="eastAsia"/>
          <w:lang w:val="en-US" w:eastAsia="zh-CN"/>
        </w:rPr>
      </w:pPr>
      <w:r>
        <w:rPr>
          <w:rFonts w:hint="eastAsia"/>
          <w:lang w:val="en-US" w:eastAsia="zh-CN"/>
        </w:rPr>
        <w:t>《工业建筑防腐设计规范》</w:t>
      </w:r>
    </w:p>
    <w:p>
      <w:pPr>
        <w:bidi w:val="0"/>
        <w:rPr>
          <w:rFonts w:hint="eastAsia"/>
          <w:lang w:val="en-US" w:eastAsia="zh-CN"/>
        </w:rPr>
      </w:pPr>
      <w:r>
        <w:rPr>
          <w:rFonts w:hint="eastAsia"/>
          <w:lang w:val="en-US" w:eastAsia="zh-CN"/>
        </w:rPr>
        <w:t>《给水排水T程结构设计规范》</w:t>
      </w:r>
    </w:p>
    <w:p>
      <w:pPr>
        <w:bidi w:val="0"/>
        <w:rPr>
          <w:rFonts w:hint="eastAsia"/>
          <w:lang w:val="en-US" w:eastAsia="zh-CN"/>
        </w:rPr>
      </w:pPr>
      <w:r>
        <w:rPr>
          <w:rFonts w:hint="eastAsia"/>
          <w:lang w:val="en-US" w:eastAsia="zh-CN"/>
        </w:rPr>
        <w:t>《建筑结构统一设计标准》</w:t>
      </w:r>
    </w:p>
    <w:p>
      <w:pPr>
        <w:bidi w:val="0"/>
        <w:rPr>
          <w:rFonts w:hint="eastAsia"/>
          <w:lang w:val="en-US" w:eastAsia="zh-CN"/>
        </w:rPr>
      </w:pPr>
      <w:r>
        <w:rPr>
          <w:rFonts w:hint="eastAsia"/>
          <w:lang w:val="en-US" w:eastAsia="zh-CN"/>
        </w:rPr>
        <w:t>《城镇污水处理厂附属建筑和附属设备标准》</w:t>
      </w:r>
    </w:p>
    <w:p>
      <w:pPr>
        <w:bidi w:val="0"/>
        <w:rPr>
          <w:rFonts w:hint="eastAsia"/>
          <w:lang w:val="en-US" w:eastAsia="zh-CN"/>
        </w:rPr>
      </w:pPr>
      <w:r>
        <w:rPr>
          <w:rFonts w:hint="eastAsia"/>
          <w:lang w:val="en-US" w:eastAsia="zh-CN"/>
        </w:rPr>
        <w:t>《砖砌工程施工规程》</w:t>
      </w:r>
    </w:p>
    <w:p>
      <w:pPr>
        <w:bidi w:val="0"/>
        <w:rPr>
          <w:rFonts w:hint="eastAsia"/>
          <w:lang w:val="en-US" w:eastAsia="zh-CN"/>
        </w:rPr>
      </w:pPr>
      <w:r>
        <w:rPr>
          <w:rFonts w:hint="eastAsia"/>
          <w:lang w:val="en-US" w:eastAsia="zh-CN"/>
        </w:rPr>
        <w:t>《防腐工程施工操作规程》</w:t>
      </w:r>
    </w:p>
    <w:p>
      <w:pPr>
        <w:bidi w:val="0"/>
        <w:rPr>
          <w:rFonts w:hint="eastAsia"/>
          <w:b/>
          <w:bCs/>
          <w:sz w:val="32"/>
          <w:szCs w:val="24"/>
          <w:lang w:val="en-US" w:eastAsia="zh-CN"/>
        </w:rPr>
      </w:pPr>
      <w:r>
        <w:rPr>
          <w:rFonts w:hint="eastAsia"/>
          <w:b/>
          <w:bCs/>
          <w:sz w:val="32"/>
          <w:szCs w:val="24"/>
          <w:lang w:val="en-US" w:eastAsia="zh-CN"/>
        </w:rPr>
        <w:t>5.6运行的技术管理</w:t>
      </w:r>
    </w:p>
    <w:p>
      <w:pPr>
        <w:bidi w:val="0"/>
        <w:rPr>
          <w:rFonts w:hint="eastAsia"/>
          <w:b/>
          <w:bCs/>
          <w:lang w:val="en-US" w:eastAsia="zh-CN"/>
        </w:rPr>
      </w:pPr>
      <w:r>
        <w:rPr>
          <w:rFonts w:hint="eastAsia"/>
          <w:b/>
          <w:bCs/>
          <w:lang w:val="en-US" w:eastAsia="zh-CN"/>
        </w:rPr>
        <w:t>5.6.1 技术管理</w:t>
      </w:r>
    </w:p>
    <w:p>
      <w:pPr>
        <w:bidi w:val="0"/>
        <w:ind w:firstLine="560" w:firstLineChars="200"/>
        <w:rPr>
          <w:rFonts w:hint="eastAsia"/>
          <w:lang w:val="en-US" w:eastAsia="zh-CN"/>
        </w:rPr>
      </w:pPr>
      <w:r>
        <w:rPr>
          <w:rFonts w:hint="eastAsia"/>
          <w:lang w:val="en-US" w:eastAsia="zh-CN"/>
        </w:rPr>
        <w:t>由市政环保部门监测污水系统水质，记录观测点的水质水量变化状况:监督工厂企业工业废水排放水质，使工业废水的排放达到《污水排入城市下水道水质标准》</w:t>
      </w:r>
    </w:p>
    <w:p>
      <w:pPr>
        <w:bidi w:val="0"/>
        <w:ind w:firstLine="560" w:firstLineChars="200"/>
        <w:rPr>
          <w:rFonts w:hint="eastAsia"/>
          <w:lang w:val="en-US" w:eastAsia="zh-CN"/>
        </w:rPr>
      </w:pPr>
      <w:r>
        <w:rPr>
          <w:rFonts w:hint="eastAsia"/>
          <w:lang w:val="en-US" w:eastAsia="zh-CN"/>
        </w:rPr>
        <w:t>根据水质，水量变化，调查运行条件。做好日常水质化验分析，保存记录完整的各种资料。</w:t>
      </w:r>
    </w:p>
    <w:p>
      <w:pPr>
        <w:bidi w:val="0"/>
        <w:ind w:firstLine="560" w:firstLineChars="200"/>
        <w:rPr>
          <w:rFonts w:hint="eastAsia"/>
          <w:lang w:val="en-US" w:eastAsia="zh-CN"/>
        </w:rPr>
      </w:pPr>
      <w:r>
        <w:rPr>
          <w:rFonts w:hint="eastAsia"/>
          <w:lang w:val="en-US" w:eastAsia="zh-CN"/>
        </w:rPr>
        <w:t>经常分析运行纪录，及时整理汇总，将运行中产生的非常现象及时反馈给中心控制室及生产调试部门，并建立运行技术档案。</w:t>
      </w:r>
    </w:p>
    <w:p>
      <w:pPr>
        <w:bidi w:val="0"/>
        <w:ind w:firstLine="560" w:firstLineChars="200"/>
        <w:rPr>
          <w:rFonts w:hint="eastAsia"/>
          <w:lang w:val="en-US" w:eastAsia="zh-CN"/>
        </w:rPr>
      </w:pPr>
      <w:r>
        <w:rPr>
          <w:rFonts w:hint="eastAsia"/>
          <w:lang w:val="en-US" w:eastAsia="zh-CN"/>
        </w:rPr>
        <w:t>建立处理构筑物和设备的维护保养工作和维护记录的存档。</w:t>
      </w:r>
    </w:p>
    <w:p>
      <w:pPr>
        <w:bidi w:val="0"/>
        <w:ind w:firstLine="560" w:firstLineChars="200"/>
        <w:rPr>
          <w:rFonts w:hint="eastAsia"/>
          <w:lang w:val="en-US" w:eastAsia="zh-CN"/>
        </w:rPr>
      </w:pPr>
      <w:r>
        <w:rPr>
          <w:rFonts w:hint="eastAsia"/>
          <w:lang w:val="en-US" w:eastAsia="zh-CN"/>
        </w:rPr>
        <w:t>建立信息系统，及时总结运行经验，提高管理水平。</w:t>
      </w:r>
    </w:p>
    <w:p>
      <w:pPr>
        <w:bidi w:val="0"/>
        <w:rPr>
          <w:rFonts w:hint="eastAsia"/>
          <w:b/>
          <w:bCs/>
          <w:lang w:val="en-US" w:eastAsia="zh-CN"/>
        </w:rPr>
      </w:pPr>
      <w:r>
        <w:rPr>
          <w:rFonts w:hint="eastAsia"/>
          <w:b/>
          <w:bCs/>
          <w:lang w:val="en-US" w:eastAsia="zh-CN"/>
        </w:rPr>
        <w:t>5.6.2人员培训</w:t>
      </w:r>
    </w:p>
    <w:p>
      <w:pPr>
        <w:bidi w:val="0"/>
        <w:ind w:firstLine="560" w:firstLineChars="200"/>
        <w:rPr>
          <w:rFonts w:hint="eastAsia"/>
          <w:lang w:val="en-US" w:eastAsia="zh-CN"/>
        </w:rPr>
      </w:pPr>
      <w:r>
        <w:rPr>
          <w:rFonts w:hint="eastAsia"/>
          <w:lang w:val="en-US" w:eastAsia="zh-CN"/>
        </w:rPr>
        <w:t>对生产设备和管理人员进行有计划的培训工作，是保证排水管网顺利运行，提高管理水平的必要手段，必须引起重视。人员培训重点有:提高项目执行管理人员的业务水平，充分熟悉设计图纸和设备型号及性能以保证项目的顺利执行。</w:t>
      </w:r>
    </w:p>
    <w:p>
      <w:pPr>
        <w:bidi w:val="0"/>
        <w:ind w:firstLine="560" w:firstLineChars="200"/>
        <w:rPr>
          <w:rFonts w:hint="eastAsia"/>
          <w:lang w:val="en-US" w:eastAsia="zh-CN"/>
        </w:rPr>
      </w:pPr>
      <w:r>
        <w:rPr>
          <w:rFonts w:hint="eastAsia"/>
          <w:lang w:val="en-US" w:eastAsia="zh-CN"/>
        </w:rPr>
        <w:t>对项目管理的财务人员进行专业培训，加强他们在执行工程项目中的能力，使项目管理尽快与国际接轨。</w:t>
      </w:r>
    </w:p>
    <w:p>
      <w:pPr>
        <w:bidi w:val="0"/>
        <w:ind w:firstLine="560" w:firstLineChars="200"/>
        <w:rPr>
          <w:rFonts w:hint="eastAsia"/>
          <w:lang w:val="en-US" w:eastAsia="zh-CN"/>
        </w:rPr>
      </w:pPr>
      <w:r>
        <w:rPr>
          <w:rFonts w:hint="eastAsia"/>
          <w:lang w:val="en-US" w:eastAsia="zh-CN"/>
        </w:rPr>
        <w:t>对生产管理和操作人员进行上岗前的专业技术培训，提高管理和操作水平，保证项目建成后能正常运行。</w:t>
      </w:r>
    </w:p>
    <w:p>
      <w:pPr>
        <w:bidi w:val="0"/>
        <w:ind w:firstLine="560" w:firstLineChars="200"/>
        <w:rPr>
          <w:rFonts w:hint="eastAsia"/>
          <w:lang w:val="en-US" w:eastAsia="zh-CN"/>
        </w:rPr>
      </w:pPr>
      <w:r>
        <w:rPr>
          <w:rFonts w:hint="eastAsia"/>
          <w:lang w:val="en-US" w:eastAsia="zh-CN"/>
        </w:rPr>
        <w:t>管理人员及生产操作人员不但要熟悉知本岗位的工作而用要了解污水处理厂全部流程的性能、状态等，以提高对本岗位工作的重要程度。</w:t>
      </w:r>
    </w:p>
    <w:p>
      <w:pPr>
        <w:pStyle w:val="3"/>
        <w:bidi w:val="0"/>
        <w:jc w:val="center"/>
        <w:rPr>
          <w:rFonts w:hint="eastAsia"/>
          <w:lang w:val="en-US" w:eastAsia="zh-CN"/>
        </w:rPr>
      </w:pPr>
      <w:bookmarkStart w:id="130" w:name="_Toc32264"/>
      <w:r>
        <w:rPr>
          <w:rFonts w:hint="eastAsia"/>
          <w:lang w:val="en-US" w:eastAsia="zh-CN"/>
        </w:rPr>
        <w:t>第六章 环境保护与安全生产</w:t>
      </w:r>
      <w:bookmarkEnd w:id="130"/>
    </w:p>
    <w:p>
      <w:pPr>
        <w:pStyle w:val="4"/>
        <w:bidi w:val="0"/>
        <w:rPr>
          <w:rFonts w:hint="eastAsia"/>
          <w:lang w:val="en-US" w:eastAsia="zh-CN"/>
        </w:rPr>
      </w:pPr>
      <w:bookmarkStart w:id="131" w:name="_Toc3104"/>
      <w:r>
        <w:rPr>
          <w:rFonts w:hint="eastAsia"/>
          <w:lang w:val="en-US" w:eastAsia="zh-CN"/>
        </w:rPr>
        <w:t>6.1 环境保护标准</w:t>
      </w:r>
      <w:bookmarkEnd w:id="131"/>
    </w:p>
    <w:p>
      <w:pPr>
        <w:ind w:firstLine="560" w:firstLineChars="200"/>
        <w:rPr>
          <w:rFonts w:hint="eastAsia"/>
          <w:lang w:val="en-US" w:eastAsia="zh-CN"/>
        </w:rPr>
      </w:pPr>
      <w:r>
        <w:rPr>
          <w:rFonts w:hint="eastAsia"/>
          <w:lang w:val="en-US" w:eastAsia="zh-CN"/>
        </w:rPr>
        <w:t>《建设项目环境保护设计规定》[(87)国环字第 002号]</w:t>
      </w:r>
    </w:p>
    <w:p>
      <w:pPr>
        <w:ind w:firstLine="560" w:firstLineChars="200"/>
        <w:rPr>
          <w:rFonts w:hint="eastAsia"/>
          <w:lang w:val="en-US" w:eastAsia="zh-CN"/>
        </w:rPr>
      </w:pPr>
      <w:r>
        <w:rPr>
          <w:rFonts w:hint="eastAsia"/>
          <w:lang w:val="en-US" w:eastAsia="zh-CN"/>
        </w:rPr>
        <w:t>《大气污染物综合排放标准》(GB16297-1996)</w:t>
      </w:r>
    </w:p>
    <w:p>
      <w:pPr>
        <w:ind w:firstLine="560" w:firstLineChars="200"/>
        <w:rPr>
          <w:rFonts w:hint="eastAsia"/>
          <w:lang w:val="en-US" w:eastAsia="zh-CN"/>
        </w:rPr>
      </w:pPr>
      <w:r>
        <w:rPr>
          <w:rFonts w:hint="eastAsia"/>
          <w:lang w:val="en-US" w:eastAsia="zh-CN"/>
        </w:rPr>
        <w:t>《环境空气质量标准》(GB3095-2012)</w:t>
      </w:r>
    </w:p>
    <w:p>
      <w:pPr>
        <w:ind w:firstLine="560" w:firstLineChars="200"/>
        <w:rPr>
          <w:rFonts w:hint="eastAsia"/>
          <w:lang w:val="en-US" w:eastAsia="zh-CN"/>
        </w:rPr>
      </w:pPr>
      <w:r>
        <w:rPr>
          <w:rFonts w:hint="eastAsia"/>
          <w:lang w:val="en-US" w:eastAsia="zh-CN"/>
        </w:rPr>
        <w:t>《地面水环境质量标准》(GB3838-2022)</w:t>
      </w:r>
    </w:p>
    <w:p>
      <w:pPr>
        <w:ind w:firstLine="560" w:firstLineChars="200"/>
        <w:rPr>
          <w:rFonts w:hint="eastAsia"/>
          <w:lang w:val="en-US" w:eastAsia="zh-CN"/>
        </w:rPr>
      </w:pPr>
      <w:r>
        <w:rPr>
          <w:rFonts w:hint="eastAsia"/>
          <w:lang w:val="en-US" w:eastAsia="zh-CN"/>
        </w:rPr>
        <w:t>《地面水质量标准》(GB3838-88)</w:t>
      </w:r>
    </w:p>
    <w:p>
      <w:pPr>
        <w:ind w:firstLine="560" w:firstLineChars="200"/>
        <w:rPr>
          <w:rFonts w:hint="eastAsia"/>
          <w:lang w:val="en-US" w:eastAsia="zh-CN"/>
        </w:rPr>
      </w:pPr>
      <w:r>
        <w:rPr>
          <w:rFonts w:hint="eastAsia"/>
          <w:lang w:val="en-US" w:eastAsia="zh-CN"/>
        </w:rPr>
        <w:t>《城市区域环境噪声标准》(GB3096-2008)</w:t>
      </w:r>
    </w:p>
    <w:p>
      <w:pPr>
        <w:ind w:firstLine="560" w:firstLineChars="200"/>
        <w:rPr>
          <w:rFonts w:hint="eastAsia"/>
          <w:lang w:val="en-US" w:eastAsia="zh-CN"/>
        </w:rPr>
      </w:pPr>
      <w:r>
        <w:rPr>
          <w:rFonts w:hint="eastAsia"/>
          <w:lang w:val="en-US" w:eastAsia="zh-CN"/>
        </w:rPr>
        <w:t>《城市区域环境震动标准》(GB10080-88)</w:t>
      </w:r>
    </w:p>
    <w:p>
      <w:pPr>
        <w:ind w:firstLine="560" w:firstLineChars="200"/>
        <w:rPr>
          <w:rFonts w:hint="eastAsia"/>
          <w:lang w:val="en-US" w:eastAsia="zh-CN"/>
        </w:rPr>
      </w:pPr>
      <w:r>
        <w:rPr>
          <w:rFonts w:hint="eastAsia"/>
          <w:lang w:val="en-US" w:eastAsia="zh-CN"/>
        </w:rPr>
        <w:t>《污染物综合排放标准》(GB8978-1996)</w:t>
      </w:r>
    </w:p>
    <w:p>
      <w:pPr>
        <w:ind w:firstLine="560" w:firstLineChars="200"/>
        <w:rPr>
          <w:rFonts w:hint="eastAsia"/>
          <w:lang w:val="en-US" w:eastAsia="zh-CN"/>
        </w:rPr>
      </w:pPr>
      <w:r>
        <w:rPr>
          <w:rFonts w:hint="eastAsia"/>
          <w:lang w:val="en-US" w:eastAsia="zh-CN"/>
        </w:rPr>
        <w:t>《建筑施工场界噪声限制》(GB1252-90)等等。</w:t>
      </w:r>
    </w:p>
    <w:p>
      <w:pPr>
        <w:pStyle w:val="4"/>
        <w:bidi w:val="0"/>
        <w:rPr>
          <w:rFonts w:hint="eastAsia"/>
          <w:lang w:val="en-US" w:eastAsia="zh-CN"/>
        </w:rPr>
      </w:pPr>
      <w:bookmarkStart w:id="132" w:name="_Toc22337"/>
      <w:r>
        <w:rPr>
          <w:rFonts w:hint="eastAsia"/>
          <w:lang w:val="en-US" w:eastAsia="zh-CN"/>
        </w:rPr>
        <w:t>6.2 排水设施保护</w:t>
      </w:r>
      <w:bookmarkEnd w:id="132"/>
    </w:p>
    <w:p>
      <w:pPr>
        <w:bidi w:val="0"/>
        <w:ind w:firstLine="560" w:firstLineChars="200"/>
        <w:rPr>
          <w:rFonts w:hint="eastAsia"/>
          <w:lang w:val="en-US" w:eastAsia="zh-CN"/>
        </w:rPr>
      </w:pPr>
      <w:r>
        <w:rPr>
          <w:rFonts w:hint="eastAsia"/>
          <w:lang w:val="en-US" w:eastAsia="zh-CN"/>
        </w:rPr>
        <w:t>1.管理机构应当定期检查维修所属排水设施，确保安全运行。</w:t>
      </w:r>
    </w:p>
    <w:p>
      <w:pPr>
        <w:bidi w:val="0"/>
        <w:ind w:firstLine="560" w:firstLineChars="200"/>
        <w:rPr>
          <w:rFonts w:hint="eastAsia"/>
          <w:lang w:val="en-US" w:eastAsia="zh-CN"/>
        </w:rPr>
      </w:pPr>
      <w:r>
        <w:rPr>
          <w:rFonts w:hint="eastAsia"/>
          <w:lang w:val="en-US" w:eastAsia="zh-CN"/>
        </w:rPr>
        <w:t>2.严禁破坏、盗窃和擅白拆除、改装、迁移村内排水设施。</w:t>
      </w:r>
    </w:p>
    <w:p>
      <w:pPr>
        <w:bidi w:val="0"/>
        <w:ind w:firstLine="560" w:firstLineChars="200"/>
        <w:rPr>
          <w:rFonts w:hint="eastAsia"/>
          <w:lang w:val="en-US" w:eastAsia="zh-CN"/>
        </w:rPr>
      </w:pPr>
      <w:r>
        <w:rPr>
          <w:rFonts w:hint="eastAsia"/>
          <w:lang w:val="en-US" w:eastAsia="zh-CN"/>
        </w:rPr>
        <w:t>3.在配水管道及其附属设施垂直面及两侧各五米内，禁止爆破、挖坑取土、堆放垃圾、物料，修建 (构) 筑物及其他危害排水设施安全的行为。</w:t>
      </w:r>
    </w:p>
    <w:p>
      <w:pPr>
        <w:bidi w:val="0"/>
        <w:ind w:firstLine="560" w:firstLineChars="200"/>
        <w:rPr>
          <w:rFonts w:hint="eastAsia"/>
          <w:lang w:val="en-US" w:eastAsia="zh-CN"/>
        </w:rPr>
      </w:pPr>
      <w:r>
        <w:rPr>
          <w:rFonts w:hint="eastAsia"/>
          <w:lang w:val="en-US" w:eastAsia="zh-CN"/>
        </w:rPr>
        <w:t>4.工程施工影响排水安全的，建设单位或者施工单位应当与管理部门商定保护措施，由管理部门监督实施。</w:t>
      </w:r>
    </w:p>
    <w:p>
      <w:pPr>
        <w:pStyle w:val="4"/>
        <w:bidi w:val="0"/>
        <w:rPr>
          <w:rFonts w:hint="eastAsia"/>
          <w:lang w:val="en-US" w:eastAsia="zh-CN"/>
        </w:rPr>
      </w:pPr>
      <w:bookmarkStart w:id="133" w:name="_Toc17106"/>
      <w:r>
        <w:rPr>
          <w:rFonts w:hint="eastAsia"/>
          <w:lang w:val="en-US" w:eastAsia="zh-CN"/>
        </w:rPr>
        <w:t>6.3 环境保护</w:t>
      </w:r>
      <w:bookmarkEnd w:id="133"/>
    </w:p>
    <w:p>
      <w:pPr>
        <w:bidi w:val="0"/>
        <w:rPr>
          <w:rFonts w:hint="eastAsia"/>
          <w:lang w:val="en-US" w:eastAsia="zh-CN"/>
        </w:rPr>
      </w:pPr>
      <w:r>
        <w:rPr>
          <w:rFonts w:hint="eastAsia"/>
          <w:lang w:val="en-US" w:eastAsia="zh-CN"/>
        </w:rPr>
        <w:t>6.3.1水源地保护</w:t>
      </w:r>
    </w:p>
    <w:p>
      <w:pPr>
        <w:bidi w:val="0"/>
        <w:ind w:firstLine="560" w:firstLineChars="200"/>
        <w:rPr>
          <w:rFonts w:hint="eastAsia"/>
          <w:lang w:val="en-US" w:eastAsia="zh-CN"/>
        </w:rPr>
      </w:pPr>
      <w:r>
        <w:rPr>
          <w:rFonts w:hint="eastAsia"/>
          <w:lang w:val="en-US" w:eastAsia="zh-CN"/>
        </w:rPr>
        <w:t>水源地水源井 350 米范围以内禁止建设有严重污染的企业，禁止设置城市垃圾和易溶、有毒有害废弃物放场和转运站</w:t>
      </w:r>
    </w:p>
    <w:p>
      <w:pPr>
        <w:bidi w:val="0"/>
        <w:rPr>
          <w:rFonts w:hint="eastAsia"/>
          <w:lang w:val="en-US" w:eastAsia="zh-CN"/>
        </w:rPr>
      </w:pPr>
      <w:r>
        <w:rPr>
          <w:rFonts w:hint="eastAsia"/>
          <w:lang w:val="en-US" w:eastAsia="zh-CN"/>
        </w:rPr>
        <w:t>6.3.2 水井卫生防护</w:t>
      </w:r>
    </w:p>
    <w:p>
      <w:pPr>
        <w:bidi w:val="0"/>
        <w:ind w:firstLine="560" w:firstLineChars="200"/>
        <w:rPr>
          <w:rFonts w:hint="eastAsia"/>
          <w:lang w:val="en-US" w:eastAsia="zh-CN"/>
        </w:rPr>
      </w:pPr>
      <w:r>
        <w:rPr>
          <w:rFonts w:hint="eastAsia"/>
          <w:lang w:val="en-US" w:eastAsia="zh-CN"/>
        </w:rPr>
        <w:t>根据生《生活饮用水标准》 (GB5749-2022)，水井范围应明确划定并设立明显标志，在生水井区外围不小于 10 米的范内不得设置在生活居住区和修建禽畜饲养厂或敷设污水渠道，应保持良好的卫生状况和绿化。同时，水井周围空地尽可能绿化，以防止水源的污染，保证安全用水。</w:t>
      </w:r>
    </w:p>
    <w:p>
      <w:pPr>
        <w:bidi w:val="0"/>
        <w:rPr>
          <w:rFonts w:hint="eastAsia"/>
          <w:lang w:val="en-US" w:eastAsia="zh-CN"/>
        </w:rPr>
      </w:pPr>
      <w:r>
        <w:rPr>
          <w:rFonts w:hint="eastAsia"/>
          <w:lang w:val="en-US" w:eastAsia="zh-CN"/>
        </w:rPr>
        <w:t>6.4.3 注意施工期间环境保护</w:t>
      </w:r>
    </w:p>
    <w:p>
      <w:pPr>
        <w:bidi w:val="0"/>
        <w:ind w:firstLine="560" w:firstLineChars="200"/>
        <w:rPr>
          <w:rFonts w:hint="eastAsia"/>
          <w:lang w:val="en-US" w:eastAsia="zh-CN"/>
        </w:rPr>
      </w:pPr>
      <w:r>
        <w:rPr>
          <w:rFonts w:hint="eastAsia"/>
          <w:lang w:val="en-US" w:eastAsia="zh-CN"/>
        </w:rPr>
        <w:t>(一)通过以下措施将施工带来的影响降到最低</w:t>
      </w:r>
    </w:p>
    <w:p>
      <w:pPr>
        <w:bidi w:val="0"/>
        <w:ind w:firstLine="560" w:firstLineChars="200"/>
        <w:rPr>
          <w:rFonts w:hint="eastAsia"/>
          <w:lang w:val="en-US" w:eastAsia="zh-CN"/>
        </w:rPr>
      </w:pPr>
      <w:r>
        <w:rPr>
          <w:rFonts w:hint="eastAsia"/>
          <w:lang w:val="en-US" w:eastAsia="zh-CN"/>
        </w:rPr>
        <w:t>(1) 强化施工管理，合理安排施工场地，及时将余土运出，施工时经常洒水湿润地面，减少扬尘;</w:t>
      </w:r>
    </w:p>
    <w:p>
      <w:pPr>
        <w:bidi w:val="0"/>
        <w:ind w:firstLine="560" w:firstLineChars="200"/>
        <w:rPr>
          <w:rFonts w:hint="eastAsia"/>
          <w:lang w:val="en-US" w:eastAsia="zh-CN"/>
        </w:rPr>
      </w:pPr>
      <w:r>
        <w:rPr>
          <w:rFonts w:hint="eastAsia"/>
          <w:lang w:val="en-US" w:eastAsia="zh-CN"/>
        </w:rPr>
        <w:t>(2)尽量缩短工期，工程施工按分段一次完成;</w:t>
      </w:r>
    </w:p>
    <w:p>
      <w:pPr>
        <w:bidi w:val="0"/>
        <w:ind w:firstLine="560" w:firstLineChars="200"/>
        <w:rPr>
          <w:rFonts w:hint="eastAsia"/>
          <w:lang w:val="en-US" w:eastAsia="zh-CN"/>
        </w:rPr>
      </w:pPr>
      <w:r>
        <w:rPr>
          <w:rFonts w:hint="eastAsia"/>
          <w:lang w:val="en-US" w:eastAsia="zh-CN"/>
        </w:rPr>
        <w:t>(3)严格施工质量，规范作业;</w:t>
      </w:r>
    </w:p>
    <w:p>
      <w:pPr>
        <w:bidi w:val="0"/>
        <w:ind w:firstLine="560" w:firstLineChars="200"/>
        <w:rPr>
          <w:rFonts w:hint="eastAsia"/>
          <w:lang w:val="en-US" w:eastAsia="zh-CN"/>
        </w:rPr>
      </w:pPr>
      <w:r>
        <w:rPr>
          <w:rFonts w:hint="eastAsia"/>
          <w:lang w:val="en-US" w:eastAsia="zh-CN"/>
        </w:rPr>
        <w:t>(4)对管材质量严格把关，杜绝劣质材料:</w:t>
      </w:r>
    </w:p>
    <w:p>
      <w:pPr>
        <w:bidi w:val="0"/>
        <w:ind w:firstLine="560" w:firstLineChars="200"/>
        <w:rPr>
          <w:rFonts w:hint="eastAsia"/>
          <w:lang w:val="en-US" w:eastAsia="zh-CN"/>
        </w:rPr>
      </w:pPr>
      <w:r>
        <w:rPr>
          <w:rFonts w:hint="eastAsia"/>
          <w:lang w:val="en-US" w:eastAsia="zh-CN"/>
        </w:rPr>
        <w:t>(5)在施工准备阶段首先对原地下设施进行全面探测，减少对原有地下设施的扰动;</w:t>
      </w:r>
    </w:p>
    <w:p>
      <w:pPr>
        <w:bidi w:val="0"/>
        <w:ind w:firstLine="560" w:firstLineChars="200"/>
        <w:rPr>
          <w:rFonts w:hint="eastAsia"/>
          <w:lang w:val="en-US" w:eastAsia="zh-CN"/>
        </w:rPr>
      </w:pPr>
      <w:r>
        <w:rPr>
          <w:rFonts w:hint="eastAsia"/>
          <w:lang w:val="en-US" w:eastAsia="zh-CN"/>
        </w:rPr>
        <w:t>(6)对必须在夜间施工的特殊工种，必须提前到环保部门办好夜间施工许可证方可施工。</w:t>
      </w:r>
    </w:p>
    <w:p>
      <w:pPr>
        <w:bidi w:val="0"/>
        <w:ind w:firstLine="560" w:firstLineChars="200"/>
        <w:rPr>
          <w:rFonts w:hint="eastAsia"/>
          <w:lang w:val="en-US" w:eastAsia="zh-CN"/>
        </w:rPr>
      </w:pPr>
      <w:r>
        <w:rPr>
          <w:rFonts w:hint="eastAsia"/>
          <w:lang w:val="en-US" w:eastAsia="zh-CN"/>
        </w:rPr>
        <w:t>(二)外界环境对工程建设的影响</w:t>
      </w:r>
    </w:p>
    <w:p>
      <w:pPr>
        <w:bidi w:val="0"/>
        <w:ind w:firstLine="560" w:firstLineChars="200"/>
        <w:rPr>
          <w:rFonts w:hint="eastAsia"/>
          <w:lang w:val="en-US" w:eastAsia="zh-CN"/>
        </w:rPr>
      </w:pPr>
      <w:r>
        <w:rPr>
          <w:rFonts w:hint="eastAsia"/>
          <w:lang w:val="en-US" w:eastAsia="zh-CN"/>
        </w:rPr>
        <w:t>外界环境对工程实施的影响主要是现状输水线存在诸多隐患不能扰动及现有部分建筑距施工场地安全距离不够，可通过施工前详细的探测、分段实施管线工程的拆迁工作为施工建设提供方便，减轻外界环境对工程建设的影响。</w:t>
      </w:r>
    </w:p>
    <w:p>
      <w:pPr>
        <w:rPr>
          <w:rFonts w:hint="eastAsia"/>
          <w:lang w:val="en-US" w:eastAsia="zh-CN"/>
        </w:rPr>
      </w:pPr>
    </w:p>
    <w:p>
      <w:pPr>
        <w:pStyle w:val="3"/>
        <w:bidi w:val="0"/>
        <w:jc w:val="center"/>
        <w:rPr>
          <w:rFonts w:hint="eastAsia"/>
          <w:lang w:val="en-US" w:eastAsia="zh-CN"/>
        </w:rPr>
      </w:pPr>
      <w:bookmarkStart w:id="134" w:name="_Toc20915"/>
      <w:r>
        <w:rPr>
          <w:rFonts w:hint="eastAsia"/>
          <w:lang w:val="en-US" w:eastAsia="zh-CN"/>
        </w:rPr>
        <w:t>第七章 节能</w:t>
      </w:r>
      <w:bookmarkEnd w:id="134"/>
    </w:p>
    <w:p>
      <w:pPr>
        <w:bidi w:val="0"/>
        <w:rPr>
          <w:rFonts w:hint="eastAsia"/>
          <w:b/>
          <w:bCs/>
          <w:sz w:val="32"/>
          <w:szCs w:val="24"/>
          <w:lang w:val="en-US" w:eastAsia="zh-CN"/>
        </w:rPr>
      </w:pPr>
      <w:r>
        <w:rPr>
          <w:rFonts w:hint="eastAsia"/>
          <w:b/>
          <w:bCs/>
          <w:sz w:val="32"/>
          <w:szCs w:val="24"/>
          <w:lang w:val="en-US" w:eastAsia="zh-CN"/>
        </w:rPr>
        <w:t>7.1合理用能标准以及节能设计规范</w:t>
      </w:r>
    </w:p>
    <w:p>
      <w:pPr>
        <w:bidi w:val="0"/>
        <w:rPr>
          <w:rFonts w:hint="eastAsia"/>
          <w:lang w:val="en-US" w:eastAsia="zh-CN"/>
        </w:rPr>
      </w:pPr>
      <w:r>
        <w:rPr>
          <w:rFonts w:hint="eastAsia"/>
          <w:lang w:val="en-US" w:eastAsia="zh-CN"/>
        </w:rPr>
        <w:t>1、《公共建筑节能设计标准》DB34/T 5076-2023；</w:t>
      </w:r>
    </w:p>
    <w:p>
      <w:pPr>
        <w:bidi w:val="0"/>
        <w:rPr>
          <w:rFonts w:hint="eastAsia"/>
          <w:lang w:val="en-US" w:eastAsia="zh-CN"/>
        </w:rPr>
      </w:pPr>
      <w:r>
        <w:rPr>
          <w:rFonts w:hint="eastAsia"/>
          <w:lang w:val="en-US" w:eastAsia="zh-CN"/>
        </w:rPr>
        <w:t>2、 《公共建筑节能设计标准新疆维吾尔自治区实施细则》XJJ034-2022；</w:t>
      </w:r>
    </w:p>
    <w:p>
      <w:pPr>
        <w:bidi w:val="0"/>
        <w:rPr>
          <w:rFonts w:hint="eastAsia"/>
          <w:lang w:val="en-US" w:eastAsia="zh-CN"/>
        </w:rPr>
      </w:pPr>
      <w:r>
        <w:rPr>
          <w:rFonts w:hint="eastAsia"/>
          <w:lang w:val="en-US" w:eastAsia="zh-CN"/>
        </w:rPr>
        <w:t>3、《民用建筑艺能管理规定》中华人民共和国建设部第 143 号令；</w:t>
      </w:r>
    </w:p>
    <w:p>
      <w:pPr>
        <w:bidi w:val="0"/>
        <w:rPr>
          <w:rFonts w:hint="eastAsia"/>
          <w:lang w:val="en-US" w:eastAsia="zh-CN"/>
        </w:rPr>
      </w:pPr>
      <w:r>
        <w:rPr>
          <w:rFonts w:hint="eastAsia"/>
          <w:lang w:val="en-US" w:eastAsia="zh-CN"/>
        </w:rPr>
        <w:t>4、《建筑照明设计标准》GB50034-2023。</w:t>
      </w:r>
    </w:p>
    <w:p>
      <w:pPr>
        <w:bidi w:val="0"/>
        <w:rPr>
          <w:rFonts w:hint="default" w:eastAsia="宋体" w:asciiTheme="minorAscii" w:hAnsiTheme="minorAscii" w:cstheme="minorBidi"/>
          <w:b w:val="0"/>
          <w:bCs w:val="0"/>
          <w:kern w:val="2"/>
          <w:szCs w:val="22"/>
          <w:lang w:val="en-US" w:eastAsia="zh-CN" w:bidi="ar-SA"/>
        </w:rPr>
      </w:pPr>
      <w:r>
        <w:rPr>
          <w:rFonts w:hint="eastAsia"/>
          <w:lang w:val="en-US" w:eastAsia="zh-CN"/>
        </w:rPr>
        <w:t>5、《民用建筑节能设计标准JGJ26-86</w:t>
      </w:r>
      <w:r>
        <w:rPr>
          <w:rFonts w:hint="eastAsia" w:eastAsia="宋体" w:asciiTheme="minorAscii" w:hAnsiTheme="minorAscii" w:cstheme="minorBidi"/>
          <w:b w:val="0"/>
          <w:bCs w:val="0"/>
          <w:kern w:val="2"/>
          <w:szCs w:val="22"/>
          <w:lang w:val="en-US" w:eastAsia="zh-CN" w:bidi="ar-SA"/>
        </w:rPr>
        <w:t>》</w:t>
      </w:r>
    </w:p>
    <w:p>
      <w:pPr>
        <w:bidi w:val="0"/>
        <w:rPr>
          <w:rFonts w:hint="eastAsia"/>
          <w:b/>
          <w:bCs/>
          <w:sz w:val="32"/>
          <w:szCs w:val="24"/>
          <w:lang w:val="en-US" w:eastAsia="zh-CN"/>
        </w:rPr>
      </w:pPr>
      <w:r>
        <w:rPr>
          <w:rFonts w:hint="eastAsia"/>
          <w:b/>
          <w:bCs/>
          <w:sz w:val="32"/>
          <w:szCs w:val="24"/>
          <w:lang w:val="en-US" w:eastAsia="zh-CN"/>
        </w:rPr>
        <w:t>7.2项目各类能耗指标计算</w:t>
      </w:r>
    </w:p>
    <w:p>
      <w:pPr>
        <w:bidi w:val="0"/>
        <w:rPr>
          <w:rFonts w:hint="eastAsia"/>
          <w:lang w:val="en-US" w:eastAsia="zh-CN"/>
        </w:rPr>
      </w:pPr>
      <w:r>
        <w:rPr>
          <w:rFonts w:hint="eastAsia"/>
          <w:lang w:val="en-US" w:eastAsia="zh-CN"/>
        </w:rPr>
        <w:t>7.2.1建筑特征描述</w:t>
      </w:r>
    </w:p>
    <w:p>
      <w:pPr>
        <w:bidi w:val="0"/>
        <w:rPr>
          <w:rFonts w:hint="eastAsia"/>
          <w:lang w:val="en-US" w:eastAsia="zh-CN"/>
        </w:rPr>
      </w:pPr>
      <w:r>
        <w:rPr>
          <w:rFonts w:hint="eastAsia"/>
          <w:lang w:val="en-US" w:eastAsia="zh-CN"/>
        </w:rPr>
        <w:t>(1)项日属于:城镇基础设施项日。</w:t>
      </w:r>
    </w:p>
    <w:p>
      <w:pPr>
        <w:bidi w:val="0"/>
        <w:rPr>
          <w:rFonts w:hint="eastAsia"/>
          <w:lang w:val="en-US" w:eastAsia="zh-CN"/>
        </w:rPr>
      </w:pPr>
      <w:r>
        <w:rPr>
          <w:rFonts w:hint="eastAsia"/>
          <w:lang w:val="en-US" w:eastAsia="zh-CN"/>
        </w:rPr>
        <w:t>(2) 地处气候分区:严寒地区 B 区</w:t>
      </w:r>
    </w:p>
    <w:p>
      <w:pPr>
        <w:bidi w:val="0"/>
        <w:rPr>
          <w:rFonts w:hint="eastAsia"/>
          <w:lang w:val="en-US" w:eastAsia="zh-CN"/>
        </w:rPr>
      </w:pPr>
      <w:r>
        <w:rPr>
          <w:rFonts w:hint="eastAsia"/>
          <w:lang w:val="en-US" w:eastAsia="zh-CN"/>
        </w:rPr>
        <w:t>(3)执行的建筑节能标准:DB34/T 5076-2023《公共建筑节能设计标准》 《公共建筑节能设计标准新疆维吾尔自治区实施细则》XJJ034-2022。</w:t>
      </w:r>
    </w:p>
    <w:p>
      <w:pPr>
        <w:bidi w:val="0"/>
        <w:rPr>
          <w:rFonts w:hint="eastAsia"/>
          <w:lang w:val="en-US" w:eastAsia="zh-CN"/>
        </w:rPr>
      </w:pPr>
      <w:r>
        <w:rPr>
          <w:rFonts w:hint="eastAsia"/>
          <w:lang w:val="en-US" w:eastAsia="zh-CN"/>
        </w:rPr>
        <w:t>7.2.2 节能措施</w:t>
      </w:r>
    </w:p>
    <w:p>
      <w:pPr>
        <w:bidi w:val="0"/>
        <w:rPr>
          <w:rFonts w:hint="eastAsia"/>
          <w:lang w:val="en-US" w:eastAsia="zh-CN"/>
        </w:rPr>
      </w:pPr>
      <w:r>
        <w:rPr>
          <w:rFonts w:hint="eastAsia"/>
          <w:lang w:val="en-US" w:eastAsia="zh-CN"/>
        </w:rPr>
        <w:t>(一)建筑主体的节能</w:t>
      </w:r>
    </w:p>
    <w:p>
      <w:pPr>
        <w:bidi w:val="0"/>
        <w:ind w:firstLine="560" w:firstLineChars="200"/>
        <w:rPr>
          <w:rFonts w:hint="eastAsia"/>
          <w:lang w:val="en-US" w:eastAsia="zh-CN"/>
        </w:rPr>
      </w:pPr>
      <w:r>
        <w:rPr>
          <w:rFonts w:hint="eastAsia"/>
          <w:lang w:val="en-US" w:eastAsia="zh-CN"/>
        </w:rPr>
        <w:t>本项目属于民用建筑类别，将严格遵照《民用建筑节能条例》及《民用建筑节能设计标准JGJ26-86》的相关规定进行设计。各类指标满足公共建筑节能要求。</w:t>
      </w:r>
    </w:p>
    <w:p>
      <w:pPr>
        <w:bidi w:val="0"/>
        <w:rPr>
          <w:rFonts w:hint="eastAsia"/>
          <w:lang w:val="en-US" w:eastAsia="zh-CN"/>
        </w:rPr>
      </w:pPr>
      <w:r>
        <w:rPr>
          <w:rFonts w:hint="eastAsia"/>
          <w:lang w:val="en-US" w:eastAsia="zh-CN"/>
        </w:rPr>
        <w:t>(二)用电设施的节能</w:t>
      </w:r>
    </w:p>
    <w:p>
      <w:pPr>
        <w:bidi w:val="0"/>
        <w:rPr>
          <w:rFonts w:hint="eastAsia"/>
          <w:lang w:val="en-US" w:eastAsia="zh-CN"/>
        </w:rPr>
      </w:pPr>
      <w:r>
        <w:rPr>
          <w:rFonts w:hint="eastAsia"/>
          <w:lang w:val="en-US" w:eastAsia="zh-CN"/>
        </w:rPr>
        <w:t>用电设施全部采用节能型产品及配套装置，以达到节能目的。</w:t>
      </w:r>
    </w:p>
    <w:p>
      <w:pPr>
        <w:bidi w:val="0"/>
        <w:rPr>
          <w:rFonts w:hint="eastAsia"/>
          <w:lang w:val="en-US" w:eastAsia="zh-CN"/>
        </w:rPr>
      </w:pPr>
      <w:r>
        <w:rPr>
          <w:rFonts w:hint="eastAsia"/>
          <w:lang w:val="en-US" w:eastAsia="zh-CN"/>
        </w:rPr>
        <w:t>(三)综合管理措施</w:t>
      </w:r>
    </w:p>
    <w:p>
      <w:pPr>
        <w:bidi w:val="0"/>
        <w:ind w:firstLine="560" w:firstLineChars="200"/>
        <w:rPr>
          <w:rFonts w:hint="eastAsia"/>
          <w:lang w:val="en-US" w:eastAsia="zh-CN"/>
        </w:rPr>
      </w:pPr>
      <w:r>
        <w:rPr>
          <w:rFonts w:hint="eastAsia"/>
          <w:lang w:val="en-US" w:eastAsia="zh-CN"/>
        </w:rPr>
        <w:t>对设备运营进行优化管理，提高设备运营效率，同时进行全面的综合管理措施，达到综合节能目的。</w:t>
      </w:r>
    </w:p>
    <w:p>
      <w:pPr>
        <w:bidi w:val="0"/>
        <w:rPr>
          <w:rFonts w:hint="eastAsia"/>
          <w:lang w:val="en-US" w:eastAsia="zh-CN"/>
        </w:rPr>
      </w:pPr>
      <w:r>
        <w:rPr>
          <w:rFonts w:hint="eastAsia"/>
          <w:lang w:val="en-US" w:eastAsia="zh-CN"/>
        </w:rPr>
        <w:t>(四) 节水</w:t>
      </w:r>
    </w:p>
    <w:p>
      <w:pPr>
        <w:bidi w:val="0"/>
        <w:ind w:firstLine="560" w:firstLineChars="200"/>
        <w:rPr>
          <w:rFonts w:hint="eastAsia"/>
          <w:lang w:val="en-US" w:eastAsia="zh-CN"/>
        </w:rPr>
      </w:pPr>
      <w:r>
        <w:rPr>
          <w:rFonts w:hint="eastAsia"/>
          <w:lang w:val="en-US" w:eastAsia="zh-CN"/>
        </w:rPr>
        <w:t>输配水管材均采用 PE 管，可大大减少接口漏失量和事故爆管水耗。</w:t>
      </w:r>
    </w:p>
    <w:p>
      <w:pPr>
        <w:bidi w:val="0"/>
        <w:rPr>
          <w:rFonts w:hint="eastAsia"/>
          <w:lang w:val="en-US" w:eastAsia="zh-CN"/>
        </w:rPr>
      </w:pPr>
      <w:r>
        <w:rPr>
          <w:rFonts w:hint="eastAsia"/>
          <w:lang w:val="en-US" w:eastAsia="zh-CN"/>
        </w:rPr>
        <w:t>(五)节电</w:t>
      </w:r>
    </w:p>
    <w:p>
      <w:pPr>
        <w:bidi w:val="0"/>
        <w:ind w:firstLine="560" w:firstLineChars="200"/>
        <w:rPr>
          <w:rFonts w:hint="eastAsia"/>
          <w:lang w:val="en-US" w:eastAsia="zh-CN"/>
        </w:rPr>
      </w:pPr>
      <w:r>
        <w:rPr>
          <w:rFonts w:hint="eastAsia"/>
          <w:lang w:val="en-US" w:eastAsia="zh-CN"/>
        </w:rPr>
        <w:t>PE 管内壁光滑，其粗糙系数小,水利条件好，节省动力费。</w:t>
      </w:r>
    </w:p>
    <w:p>
      <w:pPr>
        <w:pStyle w:val="3"/>
        <w:bidi w:val="0"/>
        <w:jc w:val="center"/>
        <w:rPr>
          <w:rFonts w:hint="eastAsia"/>
          <w:lang w:val="en-US" w:eastAsia="zh-CN"/>
        </w:rPr>
      </w:pPr>
      <w:bookmarkStart w:id="135" w:name="_Toc18175"/>
      <w:r>
        <w:rPr>
          <w:rFonts w:hint="eastAsia"/>
          <w:lang w:val="en-US" w:eastAsia="zh-CN"/>
        </w:rPr>
        <w:t>第八章 劳动保护与安全卫生</w:t>
      </w:r>
      <w:bookmarkEnd w:id="135"/>
    </w:p>
    <w:p>
      <w:pPr>
        <w:ind w:firstLine="560" w:firstLineChars="200"/>
        <w:rPr>
          <w:rFonts w:hint="eastAsia"/>
          <w:lang w:val="en-US" w:eastAsia="zh-CN"/>
        </w:rPr>
      </w:pPr>
      <w:r>
        <w:rPr>
          <w:rFonts w:hint="eastAsia"/>
          <w:lang w:val="en-US" w:eastAsia="zh-CN"/>
        </w:rPr>
        <w:t>基础设施工程施工特点决定安全管理工作的重要性，基础设施工程施工特点是，高、难(搬运吊装难)、险(来往行人辆干扰、地下管网密集)这就要求从安全上预防“四大伤害”，多处坠落和物体打击、坍塌、机械伤害、交通行人行车伤害。因此，在施工的全过程中，必须认真贯彻执行国家有关的安全生产方针和各项政策，牢固树立安全第一，预防为主的主导思想，严格执行安全生产规章制度和操作规则，加强安全工作的检查监督，确保安全生产。</w:t>
      </w:r>
    </w:p>
    <w:p>
      <w:pPr>
        <w:bidi w:val="0"/>
        <w:rPr>
          <w:rFonts w:hint="eastAsia"/>
          <w:b/>
          <w:bCs/>
          <w:sz w:val="32"/>
          <w:szCs w:val="24"/>
          <w:lang w:val="en-US" w:eastAsia="zh-CN"/>
        </w:rPr>
      </w:pPr>
      <w:r>
        <w:rPr>
          <w:rFonts w:hint="eastAsia"/>
          <w:b/>
          <w:bCs/>
          <w:sz w:val="32"/>
          <w:szCs w:val="24"/>
          <w:lang w:val="en-US" w:eastAsia="zh-CN"/>
        </w:rPr>
        <w:t>8.1劳动安全管理目标</w:t>
      </w:r>
    </w:p>
    <w:p>
      <w:pPr>
        <w:bidi w:val="0"/>
        <w:ind w:firstLine="560" w:firstLineChars="200"/>
        <w:rPr>
          <w:rFonts w:hint="eastAsia"/>
          <w:lang w:val="en-US" w:eastAsia="zh-CN"/>
        </w:rPr>
      </w:pPr>
      <w:r>
        <w:rPr>
          <w:rFonts w:hint="eastAsia"/>
          <w:lang w:val="en-US" w:eastAsia="zh-CN"/>
        </w:rPr>
        <w:t>杜绝死亡、火灾、交通、管线、设备等的重大事故。</w:t>
      </w:r>
    </w:p>
    <w:p>
      <w:pPr>
        <w:bidi w:val="0"/>
        <w:rPr>
          <w:rFonts w:hint="eastAsia"/>
          <w:b/>
          <w:bCs/>
          <w:sz w:val="32"/>
          <w:szCs w:val="24"/>
          <w:lang w:val="en-US" w:eastAsia="zh-CN"/>
        </w:rPr>
      </w:pPr>
      <w:r>
        <w:rPr>
          <w:rFonts w:hint="eastAsia"/>
          <w:b/>
          <w:bCs/>
          <w:sz w:val="32"/>
          <w:szCs w:val="24"/>
          <w:lang w:val="en-US" w:eastAsia="zh-CN"/>
        </w:rPr>
        <w:t>8.2施工安全措施</w:t>
      </w:r>
    </w:p>
    <w:p>
      <w:pPr>
        <w:bidi w:val="0"/>
        <w:rPr>
          <w:rFonts w:hint="eastAsia"/>
          <w:lang w:val="en-US" w:eastAsia="zh-CN"/>
        </w:rPr>
      </w:pPr>
      <w:r>
        <w:rPr>
          <w:rFonts w:hint="eastAsia"/>
          <w:lang w:val="en-US" w:eastAsia="zh-CN"/>
        </w:rPr>
        <w:t>8.2.1 施工安全要求</w:t>
      </w:r>
    </w:p>
    <w:p>
      <w:pPr>
        <w:bidi w:val="0"/>
        <w:rPr>
          <w:rFonts w:hint="eastAsia"/>
          <w:lang w:val="en-US" w:eastAsia="zh-CN"/>
        </w:rPr>
      </w:pPr>
      <w:r>
        <w:rPr>
          <w:rFonts w:hint="eastAsia"/>
          <w:lang w:val="en-US" w:eastAsia="zh-CN"/>
        </w:rPr>
        <w:t>(1)各类机械、机动车操作人员必须经劳动部门培训，考试合格取证后才能上岗作业。</w:t>
      </w:r>
    </w:p>
    <w:p>
      <w:pPr>
        <w:bidi w:val="0"/>
        <w:rPr>
          <w:rFonts w:hint="eastAsia"/>
          <w:lang w:val="en-US" w:eastAsia="zh-CN"/>
        </w:rPr>
      </w:pPr>
      <w:r>
        <w:rPr>
          <w:rFonts w:hint="eastAsia"/>
          <w:lang w:val="en-US" w:eastAsia="zh-CN"/>
        </w:rPr>
        <w:t>(2)土石方挖方地段，每天开工前要对坡面坡顶进行检查，发现有塌方迹象，对施工安全有威胁时，应停止施工，经处理后才能施工。采用机械开挖时要注意探明地下管网的具体位置后再施工开挖。特别加强对天燃气、电力和通讯管线的探测。</w:t>
      </w:r>
    </w:p>
    <w:p>
      <w:pPr>
        <w:bidi w:val="0"/>
        <w:rPr>
          <w:rFonts w:hint="default"/>
          <w:lang w:val="en-US" w:eastAsia="zh-CN"/>
        </w:rPr>
      </w:pPr>
      <w:r>
        <w:rPr>
          <w:rFonts w:hint="eastAsia"/>
          <w:lang w:val="en-US" w:eastAsia="zh-CN"/>
        </w:rPr>
        <w:t>(3)所有施工工作人员必须戴安全帽，在高于3m的坡面作业，必须拴安全绳。</w:t>
      </w:r>
    </w:p>
    <w:p>
      <w:pPr>
        <w:bidi w:val="0"/>
        <w:rPr>
          <w:rFonts w:hint="eastAsia"/>
          <w:lang w:val="en-US" w:eastAsia="zh-CN"/>
        </w:rPr>
      </w:pPr>
      <w:r>
        <w:rPr>
          <w:rFonts w:hint="eastAsia"/>
          <w:lang w:val="en-US" w:eastAsia="zh-CN"/>
        </w:rPr>
        <w:t>(4) 开挖作业与装运作业面要相互错开，严禁上下重叠作业。</w:t>
      </w:r>
    </w:p>
    <w:p>
      <w:pPr>
        <w:bidi w:val="0"/>
        <w:rPr>
          <w:rFonts w:hint="eastAsia"/>
          <w:lang w:val="en-US" w:eastAsia="zh-CN"/>
        </w:rPr>
      </w:pPr>
      <w:r>
        <w:rPr>
          <w:rFonts w:hint="eastAsia"/>
          <w:lang w:val="en-US" w:eastAsia="zh-CN"/>
        </w:rPr>
        <w:t>(5) 挖孔桩或开挖河床出土，运土施工作业必须安排在晚上和车辆行人较少的时间段。</w:t>
      </w:r>
    </w:p>
    <w:p>
      <w:pPr>
        <w:bidi w:val="0"/>
        <w:rPr>
          <w:rFonts w:hint="eastAsia"/>
          <w:lang w:val="en-US" w:eastAsia="zh-CN"/>
        </w:rPr>
      </w:pPr>
      <w:r>
        <w:rPr>
          <w:rFonts w:hint="eastAsia"/>
          <w:lang w:val="en-US" w:eastAsia="zh-CN"/>
        </w:rPr>
        <w:t>(6) 施工现场要设安全标志，夜间要设安全灯。</w:t>
      </w:r>
    </w:p>
    <w:p>
      <w:pPr>
        <w:bidi w:val="0"/>
        <w:rPr>
          <w:rFonts w:hint="eastAsia"/>
          <w:lang w:val="en-US" w:eastAsia="zh-CN"/>
        </w:rPr>
      </w:pPr>
      <w:r>
        <w:rPr>
          <w:rFonts w:hint="eastAsia"/>
          <w:lang w:val="en-US" w:eastAsia="zh-CN"/>
        </w:rPr>
        <w:t>9.2.2 施工安全措施</w:t>
      </w:r>
    </w:p>
    <w:p>
      <w:pPr>
        <w:bidi w:val="0"/>
        <w:rPr>
          <w:rFonts w:hint="eastAsia"/>
          <w:lang w:val="en-US" w:eastAsia="zh-CN"/>
        </w:rPr>
      </w:pPr>
      <w:r>
        <w:rPr>
          <w:rFonts w:hint="eastAsia"/>
          <w:lang w:val="en-US" w:eastAsia="zh-CN"/>
        </w:rPr>
        <w:t>(1) 参加施工特种作业人员必须经过安全技术培训，考试合格取证后才能上岗，其他人员必须进行安全技术培训和考核。</w:t>
      </w:r>
    </w:p>
    <w:p>
      <w:pPr>
        <w:bidi w:val="0"/>
        <w:rPr>
          <w:rFonts w:hint="eastAsia"/>
          <w:lang w:val="en-US" w:eastAsia="zh-CN"/>
        </w:rPr>
      </w:pPr>
      <w:r>
        <w:rPr>
          <w:rFonts w:hint="eastAsia"/>
          <w:lang w:val="en-US" w:eastAsia="zh-CN"/>
        </w:rPr>
        <w:t>(2)施工现场要设安全警告标志，夜间设立安全警示灯。</w:t>
      </w:r>
    </w:p>
    <w:p>
      <w:pPr>
        <w:bidi w:val="0"/>
        <w:rPr>
          <w:rFonts w:hint="eastAsia"/>
          <w:lang w:val="en-US" w:eastAsia="zh-CN"/>
        </w:rPr>
      </w:pPr>
      <w:r>
        <w:rPr>
          <w:rFonts w:hint="eastAsia"/>
          <w:lang w:val="en-US" w:eastAsia="zh-CN"/>
        </w:rPr>
        <w:t>(3)合理安排作业时段，避开高温酷热天气施工，保障施工人员身体健康安全。</w:t>
      </w:r>
    </w:p>
    <w:p>
      <w:pPr>
        <w:bidi w:val="0"/>
        <w:rPr>
          <w:rFonts w:hint="eastAsia"/>
          <w:lang w:val="en-US" w:eastAsia="zh-CN"/>
        </w:rPr>
      </w:pPr>
      <w:r>
        <w:rPr>
          <w:rFonts w:hint="eastAsia"/>
          <w:lang w:val="en-US" w:eastAsia="zh-CN"/>
        </w:rPr>
        <w:t>(4)根据劳动部劳字(1998) 48 号文，工程项建设要贯彻“安全第一、预防为主”的方针，确保工程投产后符合职业安全卫生的要求，保障劳动者在劳动过程中的安全与健康。为此本设计采用如下措施:</w:t>
      </w:r>
    </w:p>
    <w:p>
      <w:pPr>
        <w:bidi w:val="0"/>
        <w:ind w:firstLine="560" w:firstLineChars="200"/>
        <w:rPr>
          <w:rFonts w:hint="eastAsia"/>
          <w:lang w:val="en-US" w:eastAsia="zh-CN"/>
        </w:rPr>
      </w:pPr>
      <w:r>
        <w:rPr>
          <w:rFonts w:hint="eastAsia"/>
          <w:lang w:val="en-US" w:eastAsia="zh-CN"/>
        </w:rPr>
        <w:t>1.采用 PE 管减轻劳动强度，不需对管道再进行内外防腐，减少施工过程中异味对人体的刺激:</w:t>
      </w:r>
    </w:p>
    <w:p>
      <w:pPr>
        <w:bidi w:val="0"/>
        <w:ind w:firstLine="560" w:firstLineChars="200"/>
        <w:rPr>
          <w:rFonts w:hint="eastAsia"/>
          <w:lang w:val="en-US" w:eastAsia="zh-CN"/>
        </w:rPr>
      </w:pPr>
      <w:r>
        <w:rPr>
          <w:rFonts w:hint="eastAsia"/>
          <w:lang w:val="en-US" w:eastAsia="zh-CN"/>
        </w:rPr>
        <w:t>2.阀门采用闸阀，方使开启，使于日后维修。</w:t>
      </w:r>
    </w:p>
    <w:p>
      <w:pPr>
        <w:bidi w:val="0"/>
        <w:rPr>
          <w:rFonts w:hint="eastAsia"/>
          <w:lang w:val="en-US" w:eastAsia="zh-CN"/>
        </w:rPr>
      </w:pPr>
      <w:r>
        <w:rPr>
          <w:rFonts w:hint="eastAsia"/>
          <w:lang w:val="en-US" w:eastAsia="zh-CN"/>
        </w:rPr>
        <w:t>8.2.2临时用电安全保证措施</w:t>
      </w:r>
    </w:p>
    <w:p>
      <w:pPr>
        <w:bidi w:val="0"/>
        <w:ind w:firstLine="560" w:firstLineChars="200"/>
        <w:rPr>
          <w:rFonts w:hint="eastAsia"/>
          <w:lang w:val="en-US" w:eastAsia="zh-CN"/>
        </w:rPr>
      </w:pPr>
      <w:r>
        <w:rPr>
          <w:rFonts w:hint="eastAsia"/>
          <w:lang w:val="en-US" w:eastAsia="zh-CN"/>
        </w:rPr>
        <w:t>(1)临时用中必须按供中局有关安全运行规程执行。</w:t>
      </w:r>
    </w:p>
    <w:p>
      <w:pPr>
        <w:bidi w:val="0"/>
        <w:ind w:firstLine="560" w:firstLineChars="200"/>
        <w:rPr>
          <w:rFonts w:hint="eastAsia"/>
          <w:lang w:val="en-US" w:eastAsia="zh-CN"/>
        </w:rPr>
      </w:pPr>
      <w:r>
        <w:rPr>
          <w:rFonts w:hint="eastAsia"/>
          <w:lang w:val="en-US" w:eastAsia="zh-CN"/>
        </w:rPr>
        <w:t>(2)使用自备用电设备，其金属外壳或底座应与发电机源的接地装有可靠的连接。</w:t>
      </w:r>
    </w:p>
    <w:p>
      <w:pPr>
        <w:bidi w:val="0"/>
        <w:ind w:firstLine="560" w:firstLineChars="200"/>
        <w:rPr>
          <w:rFonts w:hint="eastAsia"/>
          <w:lang w:val="en-US" w:eastAsia="zh-CN"/>
        </w:rPr>
      </w:pPr>
      <w:r>
        <w:rPr>
          <w:rFonts w:hint="eastAsia"/>
          <w:lang w:val="en-US" w:eastAsia="zh-CN"/>
        </w:rPr>
        <w:t>(3)集中用电场所配电箱，开关要分开设置，并采用两级漏电保护装置，配电箱开关箱必须安装牢固，电具安全完好。</w:t>
      </w:r>
    </w:p>
    <w:p>
      <w:pPr>
        <w:bidi w:val="0"/>
        <w:ind w:firstLine="560" w:firstLineChars="200"/>
        <w:rPr>
          <w:rFonts w:hint="eastAsia"/>
          <w:lang w:val="en-US" w:eastAsia="zh-CN"/>
        </w:rPr>
      </w:pPr>
      <w:r>
        <w:rPr>
          <w:rFonts w:hint="eastAsia"/>
          <w:lang w:val="en-US" w:eastAsia="zh-CN"/>
        </w:rPr>
        <w:t>(4) 施工现场临时用电要定期进行检查，防雷保护、接地保护、变压器及绝缘强度，每季测定一次，固定用电场所每月检查一次，移动式电动设备，潮湿环境电气设备每天检查一次。对检查不合格的线路设备要及时维修或更换，严禁带故障运行。</w:t>
      </w:r>
    </w:p>
    <w:p>
      <w:pPr>
        <w:bidi w:val="0"/>
        <w:ind w:firstLine="560" w:firstLineChars="200"/>
        <w:rPr>
          <w:rFonts w:hint="eastAsia"/>
          <w:lang w:val="en-US" w:eastAsia="zh-CN"/>
        </w:rPr>
      </w:pPr>
      <w:r>
        <w:rPr>
          <w:rFonts w:hint="eastAsia"/>
          <w:lang w:val="en-US" w:eastAsia="zh-CN"/>
        </w:rPr>
        <w:t>8.2.3交通组织安全</w:t>
      </w:r>
    </w:p>
    <w:p>
      <w:pPr>
        <w:bidi w:val="0"/>
        <w:ind w:firstLine="560" w:firstLineChars="200"/>
        <w:rPr>
          <w:rFonts w:hint="eastAsia"/>
          <w:lang w:val="en-US" w:eastAsia="zh-CN"/>
        </w:rPr>
      </w:pPr>
      <w:r>
        <w:rPr>
          <w:rFonts w:hint="eastAsia"/>
          <w:lang w:val="en-US" w:eastAsia="zh-CN"/>
        </w:rPr>
        <w:t>施工期间交通组织的好坏对该工程的施工影响很大:因此在施工之前作好场地布置和规划。成立安全防护施工小组，除了施工安全之外，更重要的是组织控制好行人行车安全</w:t>
      </w:r>
    </w:p>
    <w:p>
      <w:pPr>
        <w:bidi w:val="0"/>
        <w:ind w:firstLine="560" w:firstLineChars="200"/>
        <w:rPr>
          <w:rFonts w:hint="eastAsia"/>
          <w:lang w:val="en-US" w:eastAsia="zh-CN"/>
        </w:rPr>
      </w:pPr>
      <w:r>
        <w:rPr>
          <w:rFonts w:hint="eastAsia"/>
          <w:lang w:val="en-US" w:eastAsia="zh-CN"/>
        </w:rPr>
        <w:t>(1)做好影响交通的施工工序的时间计划和安排，了解道路的交通运行情况以及现场环境情况。</w:t>
      </w:r>
    </w:p>
    <w:p>
      <w:pPr>
        <w:bidi w:val="0"/>
        <w:ind w:firstLine="560" w:firstLineChars="200"/>
        <w:rPr>
          <w:rFonts w:hint="eastAsia"/>
          <w:lang w:val="en-US" w:eastAsia="zh-CN"/>
        </w:rPr>
      </w:pPr>
      <w:r>
        <w:rPr>
          <w:rFonts w:hint="eastAsia"/>
          <w:lang w:val="en-US" w:eastAsia="zh-CN"/>
        </w:rPr>
        <w:t>(2) 挖土方开挖出土时，必须采取在夜间行人和行车较少的时间段进行运输，在离施工作业点 50 米以外设置交通警示和人员指挥控制，确保施工作业和交通行车安全。</w:t>
      </w:r>
    </w:p>
    <w:p>
      <w:pPr>
        <w:bidi w:val="0"/>
        <w:ind w:firstLine="560" w:firstLineChars="200"/>
        <w:rPr>
          <w:rFonts w:hint="eastAsia"/>
          <w:lang w:val="en-US" w:eastAsia="zh-CN"/>
        </w:rPr>
      </w:pPr>
      <w:r>
        <w:rPr>
          <w:rFonts w:hint="eastAsia"/>
          <w:lang w:val="en-US" w:eastAsia="zh-CN"/>
        </w:rPr>
        <w:t>(3)在施工场地出入口设置各种交通标志和警示;车辆出入施工场地时要安排人员进行指挥控制。</w:t>
      </w:r>
    </w:p>
    <w:p>
      <w:pPr>
        <w:bidi w:val="0"/>
        <w:ind w:firstLine="560" w:firstLineChars="200"/>
        <w:rPr>
          <w:rFonts w:hint="eastAsia"/>
          <w:lang w:val="en-US" w:eastAsia="zh-CN"/>
        </w:rPr>
      </w:pPr>
      <w:r>
        <w:rPr>
          <w:rFonts w:hint="eastAsia"/>
          <w:lang w:val="en-US" w:eastAsia="zh-CN"/>
        </w:rPr>
        <w:t>(4)采用临时迫流的方法:充分利用现有施工场地和交通条件。运输时可通过有关交通部门对交通进行规划，尽量减少对行人行车的影响。</w:t>
      </w:r>
    </w:p>
    <w:p>
      <w:pPr>
        <w:bidi w:val="0"/>
        <w:rPr>
          <w:rFonts w:hint="eastAsia"/>
          <w:b/>
          <w:bCs/>
          <w:sz w:val="32"/>
          <w:szCs w:val="24"/>
          <w:lang w:val="en-US" w:eastAsia="zh-CN"/>
        </w:rPr>
      </w:pPr>
      <w:r>
        <w:rPr>
          <w:rFonts w:hint="eastAsia"/>
          <w:b/>
          <w:bCs/>
          <w:sz w:val="32"/>
          <w:szCs w:val="24"/>
          <w:lang w:val="en-US" w:eastAsia="zh-CN"/>
        </w:rPr>
        <w:t>8.3劳动安全管理体系</w:t>
      </w:r>
    </w:p>
    <w:p>
      <w:pPr>
        <w:bidi w:val="0"/>
        <w:ind w:firstLine="560" w:firstLineChars="200"/>
        <w:rPr>
          <w:rFonts w:hint="default"/>
          <w:lang w:val="en-US" w:eastAsia="zh-CN"/>
        </w:rPr>
      </w:pPr>
      <w:r>
        <w:rPr>
          <w:rFonts w:hint="eastAsia"/>
          <w:lang w:val="en-US" w:eastAsia="zh-CN"/>
        </w:rPr>
        <w:t>明确劳动安全第一负责人，劳动安全领导小组，建立完善的劳动安全保证体系，各岗位、各工种的安全职责和各项安全管理制度，工程施工的进场人员和作业班组签订劳动安全责任书，施工现场配备专职安全员，负责全面的安全技术监督检查工作，使工程始终按照“安全第一、预防为主”、“安全生产、人人有责”。</w:t>
      </w:r>
    </w:p>
    <w:p>
      <w:pPr>
        <w:pStyle w:val="3"/>
        <w:bidi w:val="0"/>
        <w:jc w:val="both"/>
        <w:rPr>
          <w:rFonts w:hint="eastAsia"/>
          <w:lang w:eastAsia="zh-CN"/>
        </w:rPr>
      </w:pPr>
    </w:p>
    <w:p>
      <w:pPr>
        <w:pStyle w:val="3"/>
        <w:bidi w:val="0"/>
        <w:jc w:val="center"/>
        <w:rPr>
          <w:rFonts w:hint="eastAsia"/>
          <w:lang w:eastAsia="zh-CN"/>
        </w:rPr>
      </w:pPr>
    </w:p>
    <w:p>
      <w:pPr>
        <w:rPr>
          <w:rFonts w:hint="eastAsia"/>
          <w:lang w:eastAsia="zh-CN"/>
        </w:rPr>
      </w:pPr>
    </w:p>
    <w:p>
      <w:pPr>
        <w:pStyle w:val="3"/>
        <w:bidi w:val="0"/>
        <w:jc w:val="center"/>
        <w:rPr>
          <w:rFonts w:hint="eastAsia"/>
          <w:lang w:eastAsia="zh-CN"/>
        </w:rPr>
      </w:pPr>
      <w:bookmarkStart w:id="136" w:name="_Toc32065"/>
    </w:p>
    <w:p>
      <w:pPr>
        <w:pStyle w:val="3"/>
        <w:bidi w:val="0"/>
        <w:jc w:val="center"/>
        <w:rPr>
          <w:rFonts w:hint="eastAsia"/>
        </w:rPr>
      </w:pPr>
      <w:r>
        <w:rPr>
          <w:rFonts w:hint="eastAsia"/>
          <w:lang w:eastAsia="zh-CN"/>
        </w:rPr>
        <w:t>第</w:t>
      </w:r>
      <w:r>
        <w:rPr>
          <w:rFonts w:hint="eastAsia"/>
          <w:lang w:val="en-US" w:eastAsia="zh-CN"/>
        </w:rPr>
        <w:t>九</w:t>
      </w:r>
      <w:r>
        <w:rPr>
          <w:rFonts w:hint="eastAsia"/>
          <w:lang w:eastAsia="zh-CN"/>
        </w:rPr>
        <w:t>章</w:t>
      </w:r>
      <w:r>
        <w:rPr>
          <w:rFonts w:hint="eastAsia"/>
          <w:lang w:val="en-US" w:eastAsia="zh-CN"/>
        </w:rPr>
        <w:t xml:space="preserve"> </w:t>
      </w:r>
      <w:r>
        <w:rPr>
          <w:rFonts w:hint="eastAsia"/>
        </w:rPr>
        <w:t>项目投资</w:t>
      </w:r>
      <w:bookmarkEnd w:id="136"/>
    </w:p>
    <w:p>
      <w:pPr>
        <w:pStyle w:val="4"/>
        <w:bidi w:val="0"/>
        <w:rPr>
          <w:rFonts w:hint="eastAsia"/>
        </w:rPr>
      </w:pPr>
      <w:bookmarkStart w:id="137" w:name="_Toc25659"/>
      <w:r>
        <w:rPr>
          <w:rFonts w:hint="eastAsia"/>
          <w:lang w:val="en-US" w:eastAsia="zh-CN"/>
        </w:rPr>
        <w:t>9.1</w:t>
      </w:r>
      <w:r>
        <w:rPr>
          <w:rFonts w:hint="eastAsia"/>
        </w:rPr>
        <w:t>投资</w:t>
      </w:r>
      <w:r>
        <w:rPr>
          <w:rFonts w:hint="eastAsia"/>
          <w:lang w:val="en-US" w:eastAsia="zh-CN"/>
        </w:rPr>
        <w:t>概</w:t>
      </w:r>
      <w:r>
        <w:rPr>
          <w:rFonts w:hint="eastAsia"/>
        </w:rPr>
        <w:t>算</w:t>
      </w:r>
      <w:bookmarkEnd w:id="137"/>
    </w:p>
    <w:p>
      <w:pPr>
        <w:bidi w:val="0"/>
        <w:rPr>
          <w:rFonts w:hint="eastAsia"/>
          <w:b/>
          <w:bCs/>
        </w:rPr>
      </w:pPr>
      <w:r>
        <w:rPr>
          <w:rFonts w:hint="eastAsia"/>
          <w:b/>
          <w:bCs/>
          <w:lang w:val="en-US" w:eastAsia="zh-CN"/>
        </w:rPr>
        <w:t>9.1</w:t>
      </w:r>
      <w:r>
        <w:rPr>
          <w:rFonts w:hint="eastAsia"/>
          <w:b/>
          <w:bCs/>
        </w:rPr>
        <w:t>.1</w:t>
      </w:r>
      <w:r>
        <w:rPr>
          <w:rFonts w:hint="eastAsia"/>
          <w:b/>
          <w:bCs/>
          <w:lang w:val="en-US" w:eastAsia="zh-CN"/>
        </w:rPr>
        <w:t>概</w:t>
      </w:r>
      <w:r>
        <w:rPr>
          <w:rFonts w:hint="eastAsia"/>
          <w:b/>
          <w:bCs/>
        </w:rPr>
        <w:t>算范围</w:t>
      </w:r>
    </w:p>
    <w:p>
      <w:pPr>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1、塔城市阿不都拉乡水磨村粪污一体化项目</w:t>
      </w:r>
      <w:r>
        <w:rPr>
          <w:rFonts w:hint="eastAsia" w:ascii="宋体" w:hAnsi="宋体" w:eastAsia="宋体" w:cs="宋体"/>
          <w:color w:val="000000" w:themeColor="text1"/>
          <w:sz w:val="28"/>
          <w:szCs w:val="28"/>
          <w:lang w:eastAsia="zh-CN"/>
          <w14:textFill>
            <w14:solidFill>
              <w14:schemeClr w14:val="tx1"/>
            </w14:solidFill>
          </w14:textFill>
        </w:rPr>
        <w:t>建安工程费</w:t>
      </w:r>
      <w:r>
        <w:rPr>
          <w:rFonts w:hint="eastAsia" w:ascii="宋体" w:hAnsi="宋体" w:eastAsia="宋体" w:cs="宋体"/>
          <w:color w:val="000000" w:themeColor="text1"/>
          <w:sz w:val="28"/>
          <w:szCs w:val="28"/>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2、项目建设</w:t>
      </w:r>
      <w:r>
        <w:rPr>
          <w:rFonts w:hint="eastAsia" w:ascii="宋体" w:hAnsi="宋体" w:cs="宋体"/>
          <w:color w:val="000000" w:themeColor="text1"/>
          <w:sz w:val="28"/>
          <w:szCs w:val="28"/>
          <w:lang w:eastAsia="zh-CN"/>
          <w14:textFill>
            <w14:solidFill>
              <w14:schemeClr w14:val="tx1"/>
            </w14:solidFill>
          </w14:textFill>
        </w:rPr>
        <w:t>其他费用</w:t>
      </w:r>
      <w:r>
        <w:rPr>
          <w:rFonts w:hint="eastAsia" w:ascii="宋体" w:hAnsi="宋体" w:eastAsia="宋体" w:cs="宋体"/>
          <w:color w:val="000000" w:themeColor="text1"/>
          <w:sz w:val="28"/>
          <w:szCs w:val="28"/>
          <w14:textFill>
            <w14:solidFill>
              <w14:schemeClr w14:val="tx1"/>
            </w14:solidFill>
          </w14:textFill>
        </w:rPr>
        <w:t>（前期费、勘察费、设计费、工程其他费、咨询服务费等）；</w:t>
      </w:r>
    </w:p>
    <w:p>
      <w:pPr>
        <w:bidi w:val="0"/>
        <w:rPr>
          <w:rFonts w:hint="eastAsia"/>
          <w:b/>
          <w:bCs/>
        </w:rPr>
      </w:pPr>
      <w:r>
        <w:rPr>
          <w:rFonts w:hint="eastAsia"/>
          <w:b/>
          <w:bCs/>
          <w:lang w:val="en-US" w:eastAsia="zh-CN"/>
        </w:rPr>
        <w:t>9.1</w:t>
      </w:r>
      <w:r>
        <w:rPr>
          <w:rFonts w:hint="eastAsia"/>
          <w:b/>
          <w:bCs/>
        </w:rPr>
        <w:t>.2编制依据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both"/>
        <w:textAlignment w:val="auto"/>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rPr>
        <w:t>全国统一安装工程预算定额</w:t>
      </w:r>
      <w:r>
        <w:rPr>
          <w:rFonts w:hint="eastAsia" w:ascii="宋体" w:hAnsi="宋体" w:eastAsia="宋体" w:cs="宋体"/>
          <w:color w:val="auto"/>
          <w:kern w:val="2"/>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both"/>
        <w:textAlignment w:val="auto"/>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rPr>
        <w:t>全国统一建筑装饰装修工程消耗量定额</w:t>
      </w:r>
      <w:r>
        <w:rPr>
          <w:rFonts w:hint="eastAsia" w:ascii="宋体" w:hAnsi="宋体" w:eastAsia="宋体" w:cs="宋体"/>
          <w:color w:val="auto"/>
          <w:kern w:val="2"/>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both"/>
        <w:textAlignment w:val="auto"/>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rPr>
        <w:t>建设工程造价咨询规范（GB/T51095-2015）</w:t>
      </w:r>
      <w:r>
        <w:rPr>
          <w:rFonts w:hint="eastAsia" w:ascii="宋体" w:hAnsi="宋体" w:eastAsia="宋体" w:cs="宋体"/>
          <w:color w:val="auto"/>
          <w:kern w:val="2"/>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both"/>
        <w:textAlignment w:val="auto"/>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rPr>
        <w:t>建设项目投资估算编审规程（CECA/GC 1-2015）</w:t>
      </w:r>
      <w:r>
        <w:rPr>
          <w:rFonts w:hint="eastAsia" w:ascii="宋体" w:hAnsi="宋体" w:eastAsia="宋体" w:cs="宋体"/>
          <w:color w:val="auto"/>
          <w:kern w:val="2"/>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both"/>
        <w:textAlignment w:val="auto"/>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rPr>
        <w:t>配套设备购置安装工程费</w:t>
      </w:r>
      <w:r>
        <w:rPr>
          <w:rFonts w:hint="eastAsia" w:ascii="宋体" w:hAnsi="宋体" w:cs="宋体"/>
          <w:color w:val="auto"/>
          <w:kern w:val="2"/>
          <w:sz w:val="28"/>
          <w:szCs w:val="28"/>
          <w:lang w:val="en-US" w:eastAsia="zh-CN"/>
        </w:rPr>
        <w:t>概</w:t>
      </w:r>
      <w:r>
        <w:rPr>
          <w:rFonts w:hint="eastAsia" w:ascii="宋体" w:hAnsi="宋体" w:eastAsia="宋体" w:cs="宋体"/>
          <w:color w:val="auto"/>
          <w:kern w:val="2"/>
          <w:sz w:val="28"/>
          <w:szCs w:val="28"/>
        </w:rPr>
        <w:t>算办法</w:t>
      </w:r>
      <w:r>
        <w:rPr>
          <w:rFonts w:hint="eastAsia" w:ascii="宋体" w:hAnsi="宋体" w:eastAsia="宋体" w:cs="宋体"/>
          <w:color w:val="auto"/>
          <w:kern w:val="2"/>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both"/>
        <w:textAlignment w:val="auto"/>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rPr>
        <w:t>室外配套公用工程（室外给水、排水、采暖、电力）费用</w:t>
      </w:r>
      <w:r>
        <w:rPr>
          <w:rFonts w:hint="eastAsia" w:ascii="宋体" w:hAnsi="宋体" w:cs="宋体"/>
          <w:color w:val="auto"/>
          <w:kern w:val="2"/>
          <w:sz w:val="28"/>
          <w:szCs w:val="28"/>
          <w:lang w:val="en-US" w:eastAsia="zh-CN"/>
        </w:rPr>
        <w:t>概</w:t>
      </w:r>
      <w:r>
        <w:rPr>
          <w:rFonts w:hint="eastAsia" w:ascii="宋体" w:hAnsi="宋体" w:eastAsia="宋体" w:cs="宋体"/>
          <w:color w:val="auto"/>
          <w:kern w:val="2"/>
          <w:sz w:val="28"/>
          <w:szCs w:val="28"/>
        </w:rPr>
        <w:t>算办法</w:t>
      </w:r>
      <w:r>
        <w:rPr>
          <w:rFonts w:hint="eastAsia" w:ascii="宋体" w:hAnsi="宋体" w:eastAsia="宋体" w:cs="宋体"/>
          <w:color w:val="auto"/>
          <w:kern w:val="2"/>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280" w:firstLineChars="100"/>
        <w:jc w:val="both"/>
        <w:textAlignment w:val="auto"/>
        <w:rPr>
          <w:rFonts w:hint="eastAsia" w:ascii="宋体" w:hAnsi="宋体" w:eastAsia="宋体" w:cs="宋体"/>
          <w:sz w:val="28"/>
          <w:szCs w:val="28"/>
          <w:lang w:eastAsia="zh-CN"/>
        </w:rPr>
      </w:pPr>
      <w:r>
        <w:rPr>
          <w:rFonts w:hint="eastAsia" w:ascii="宋体" w:hAnsi="宋体" w:eastAsia="宋体" w:cs="宋体"/>
          <w:sz w:val="28"/>
          <w:szCs w:val="28"/>
        </w:rPr>
        <w:t>《新疆维吾尔自治区2010年建筑安装工程费用定额》</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280" w:firstLineChars="100"/>
        <w:jc w:val="both"/>
        <w:textAlignment w:val="auto"/>
        <w:rPr>
          <w:rFonts w:hint="eastAsia" w:ascii="宋体" w:hAnsi="宋体" w:eastAsia="宋体" w:cs="宋体"/>
          <w:sz w:val="28"/>
          <w:szCs w:val="28"/>
          <w:lang w:eastAsia="zh-CN"/>
        </w:rPr>
      </w:pPr>
      <w:r>
        <w:rPr>
          <w:rFonts w:hint="eastAsia" w:ascii="宋体" w:hAnsi="宋体" w:eastAsia="宋体" w:cs="宋体"/>
          <w:sz w:val="28"/>
          <w:szCs w:val="28"/>
        </w:rPr>
        <w:t>《新疆维吾尔自治区建筑工程消耗量定额（2010）》</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280" w:firstLineChars="100"/>
        <w:jc w:val="both"/>
        <w:textAlignment w:val="auto"/>
        <w:rPr>
          <w:rFonts w:hint="eastAsia" w:ascii="宋体" w:hAnsi="宋体" w:eastAsia="宋体" w:cs="宋体"/>
          <w:sz w:val="28"/>
          <w:szCs w:val="28"/>
          <w:lang w:eastAsia="zh-CN"/>
        </w:rPr>
      </w:pPr>
      <w:r>
        <w:rPr>
          <w:rFonts w:hint="eastAsia" w:ascii="宋体" w:hAnsi="宋体" w:eastAsia="宋体" w:cs="宋体"/>
          <w:sz w:val="28"/>
          <w:szCs w:val="28"/>
        </w:rPr>
        <w:t>《全国统一安装工程预算定额》</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280" w:firstLineChars="100"/>
        <w:jc w:val="both"/>
        <w:textAlignment w:val="auto"/>
        <w:rPr>
          <w:rFonts w:hint="eastAsia" w:ascii="宋体" w:hAnsi="宋体" w:eastAsia="宋体" w:cs="宋体"/>
          <w:sz w:val="28"/>
          <w:szCs w:val="28"/>
          <w:lang w:eastAsia="zh-CN"/>
        </w:rPr>
      </w:pPr>
      <w:r>
        <w:rPr>
          <w:rFonts w:hint="eastAsia" w:ascii="宋体" w:hAnsi="宋体" w:eastAsia="宋体" w:cs="宋体"/>
          <w:sz w:val="28"/>
          <w:szCs w:val="28"/>
        </w:rPr>
        <w:t>《全国统一建筑装饰装修工程消耗量定额》</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项目建设其他费用</w:t>
      </w:r>
      <w:r>
        <w:rPr>
          <w:rFonts w:hint="eastAsia" w:ascii="宋体" w:hAnsi="宋体" w:cs="宋体"/>
          <w:color w:val="auto"/>
          <w:kern w:val="2"/>
          <w:sz w:val="28"/>
          <w:szCs w:val="28"/>
          <w:lang w:val="en-US" w:eastAsia="zh-CN"/>
        </w:rPr>
        <w:t>概</w:t>
      </w:r>
      <w:r>
        <w:rPr>
          <w:rFonts w:hint="eastAsia" w:ascii="宋体" w:hAnsi="宋体" w:eastAsia="宋体" w:cs="宋体"/>
          <w:color w:val="auto"/>
          <w:kern w:val="2"/>
          <w:sz w:val="28"/>
          <w:szCs w:val="28"/>
        </w:rPr>
        <w:t>算办法：</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560" w:firstLineChars="200"/>
        <w:jc w:val="both"/>
        <w:textAlignment w:val="auto"/>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国家发展改革委《关于进一步放开建设项目专业服务价格的通知》（发改价格〔2015〕299号）</w:t>
      </w:r>
      <w:r>
        <w:rPr>
          <w:rFonts w:hint="eastAsia" w:ascii="宋体" w:hAnsi="宋体" w:eastAsia="宋体" w:cs="宋体"/>
          <w:color w:val="auto"/>
          <w:kern w:val="2"/>
          <w:sz w:val="28"/>
          <w:szCs w:val="28"/>
          <w:lang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560" w:firstLineChars="200"/>
        <w:jc w:val="both"/>
        <w:textAlignment w:val="auto"/>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项目建设管理费：按《基本建设项目建设成本管理规定》财建【2016】504号文执行</w:t>
      </w:r>
      <w:r>
        <w:rPr>
          <w:rFonts w:hint="eastAsia" w:ascii="宋体" w:hAnsi="宋体" w:eastAsia="宋体" w:cs="宋体"/>
          <w:color w:val="auto"/>
          <w:kern w:val="2"/>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both"/>
        <w:textAlignment w:val="auto"/>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rPr>
        <w:t>3）建设项目可研编制费、工程勘察设计费、招标代理费、工程监理费、环境影响咨询费等五项费用按《国家发展改革委关于进一步放开建设项目专业服务价格的通知》（发改价格〔2015〕299号）规定计取</w:t>
      </w:r>
      <w:r>
        <w:rPr>
          <w:rFonts w:hint="eastAsia" w:ascii="宋体" w:hAnsi="宋体" w:eastAsia="宋体" w:cs="宋体"/>
          <w:color w:val="auto"/>
          <w:kern w:val="2"/>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both"/>
        <w:textAlignment w:val="auto"/>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rPr>
        <w:t>4）施工图审查费：按照《关于降低建筑工程施工图设计专家审查费标准等有关事宜的通知》（新发改医价【2012】830号）的规定计取</w:t>
      </w:r>
      <w:r>
        <w:rPr>
          <w:rFonts w:hint="eastAsia" w:ascii="宋体" w:hAnsi="宋体" w:eastAsia="宋体" w:cs="宋体"/>
          <w:color w:val="auto"/>
          <w:kern w:val="2"/>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both"/>
        <w:textAlignment w:val="auto"/>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val="en-US" w:eastAsia="zh-CN"/>
        </w:rPr>
        <w:t>5</w:t>
      </w:r>
      <w:r>
        <w:rPr>
          <w:rFonts w:hint="eastAsia" w:ascii="宋体" w:hAnsi="宋体" w:eastAsia="宋体" w:cs="宋体"/>
          <w:color w:val="auto"/>
          <w:kern w:val="2"/>
          <w:sz w:val="28"/>
          <w:szCs w:val="28"/>
        </w:rPr>
        <w:t>）工程造价咨询服务费：按《新疆维吾尔自治区工程造价咨询服务收费管理规定》（新计价房［2002］866号）计取</w:t>
      </w:r>
      <w:r>
        <w:rPr>
          <w:rFonts w:hint="eastAsia" w:ascii="宋体" w:hAnsi="宋体" w:eastAsia="宋体" w:cs="宋体"/>
          <w:color w:val="auto"/>
          <w:kern w:val="2"/>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both"/>
        <w:textAlignment w:val="auto"/>
        <w:rPr>
          <w:rFonts w:hint="eastAsia" w:ascii="宋体" w:hAnsi="宋体" w:eastAsia="宋体" w:cs="宋体"/>
          <w:sz w:val="28"/>
          <w:szCs w:val="28"/>
          <w:lang w:eastAsia="zh-CN"/>
        </w:rPr>
      </w:pPr>
      <w:r>
        <w:rPr>
          <w:rFonts w:hint="eastAsia" w:ascii="宋体" w:hAnsi="宋体" w:eastAsia="宋体" w:cs="宋体"/>
          <w:color w:val="auto"/>
          <w:kern w:val="2"/>
          <w:sz w:val="28"/>
          <w:szCs w:val="28"/>
          <w:lang w:val="en-US" w:eastAsia="zh-CN"/>
        </w:rPr>
        <w:t>6</w:t>
      </w:r>
      <w:r>
        <w:rPr>
          <w:rFonts w:hint="eastAsia" w:ascii="宋体" w:hAnsi="宋体" w:eastAsia="宋体" w:cs="宋体"/>
          <w:color w:val="auto"/>
          <w:kern w:val="2"/>
          <w:sz w:val="28"/>
          <w:szCs w:val="28"/>
        </w:rPr>
        <w:t>）</w:t>
      </w:r>
      <w:r>
        <w:rPr>
          <w:rFonts w:hint="eastAsia" w:ascii="宋体" w:hAnsi="宋体" w:eastAsia="宋体" w:cs="宋体"/>
          <w:sz w:val="28"/>
          <w:szCs w:val="28"/>
        </w:rPr>
        <w:t>材料信息价参照</w:t>
      </w:r>
      <w:r>
        <w:rPr>
          <w:rFonts w:hint="eastAsia" w:ascii="宋体" w:hAnsi="宋体" w:cs="宋体"/>
          <w:sz w:val="28"/>
          <w:szCs w:val="28"/>
          <w:lang w:val="en-US" w:eastAsia="zh-CN"/>
        </w:rPr>
        <w:t>塔城地区</w:t>
      </w:r>
      <w:r>
        <w:rPr>
          <w:rFonts w:hint="eastAsia" w:ascii="宋体" w:hAnsi="宋体" w:eastAsia="宋体" w:cs="宋体"/>
          <w:sz w:val="28"/>
          <w:szCs w:val="28"/>
        </w:rPr>
        <w:t>202</w:t>
      </w:r>
      <w:r>
        <w:rPr>
          <w:rFonts w:hint="eastAsia" w:ascii="宋体" w:hAnsi="宋体" w:eastAsia="宋体" w:cs="宋体"/>
          <w:sz w:val="28"/>
          <w:szCs w:val="28"/>
          <w:lang w:val="en-US" w:eastAsia="zh-CN"/>
        </w:rPr>
        <w:t>3</w:t>
      </w:r>
      <w:r>
        <w:rPr>
          <w:rFonts w:hint="eastAsia" w:ascii="宋体" w:hAnsi="宋体" w:eastAsia="宋体" w:cs="宋体"/>
          <w:sz w:val="28"/>
          <w:szCs w:val="28"/>
        </w:rPr>
        <w:t>年</w:t>
      </w:r>
      <w:r>
        <w:rPr>
          <w:rFonts w:hint="eastAsia" w:ascii="宋体" w:hAnsi="宋体" w:eastAsia="宋体" w:cs="宋体"/>
          <w:sz w:val="28"/>
          <w:szCs w:val="28"/>
          <w:lang w:val="en-US" w:eastAsia="zh-CN"/>
        </w:rPr>
        <w:t>5</w:t>
      </w:r>
      <w:r>
        <w:rPr>
          <w:rFonts w:hint="eastAsia" w:ascii="宋体" w:hAnsi="宋体" w:eastAsia="宋体" w:cs="宋体"/>
          <w:sz w:val="28"/>
          <w:szCs w:val="28"/>
        </w:rPr>
        <w:t>月份建设工程价格信息</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auto"/>
          <w:kern w:val="2"/>
          <w:sz w:val="28"/>
          <w:szCs w:val="28"/>
          <w:lang w:val="en-US" w:eastAsia="zh-CN"/>
        </w:rPr>
        <w:t>7）</w:t>
      </w:r>
      <w:r>
        <w:rPr>
          <w:rFonts w:hint="eastAsia" w:ascii="宋体" w:hAnsi="宋体" w:eastAsia="宋体" w:cs="宋体"/>
          <w:b w:val="0"/>
          <w:color w:val="auto"/>
          <w:kern w:val="2"/>
          <w:sz w:val="28"/>
          <w:szCs w:val="28"/>
          <w:lang w:val="en-US" w:eastAsia="zh-CN" w:bidi="ar-SA"/>
        </w:rPr>
        <w:t>预备费：按工程费用及工程其它费之和</w:t>
      </w:r>
      <w:r>
        <w:rPr>
          <w:rFonts w:hint="eastAsia" w:ascii="宋体" w:hAnsi="宋体" w:eastAsia="宋体" w:cs="宋体"/>
          <w:b w:val="0"/>
          <w:color w:val="auto"/>
          <w:kern w:val="2"/>
          <w:sz w:val="28"/>
          <w:szCs w:val="28"/>
          <w:highlight w:val="none"/>
          <w:lang w:val="en-US" w:eastAsia="zh-CN" w:bidi="ar-SA"/>
        </w:rPr>
        <w:t>的3%—8%计算</w:t>
      </w:r>
      <w:r>
        <w:rPr>
          <w:rFonts w:hint="eastAsia" w:ascii="宋体" w:hAnsi="宋体" w:eastAsia="宋体" w:cs="宋体"/>
          <w:b w:val="0"/>
          <w:color w:val="auto"/>
          <w:kern w:val="2"/>
          <w:sz w:val="28"/>
          <w:szCs w:val="28"/>
          <w:lang w:val="en-US" w:eastAsia="zh-CN" w:bidi="ar-SA"/>
        </w:rPr>
        <w:t>。</w:t>
      </w:r>
    </w:p>
    <w:p>
      <w:pPr>
        <w:bidi w:val="0"/>
        <w:rPr>
          <w:rFonts w:hint="eastAsia"/>
          <w:b/>
          <w:bCs/>
        </w:rPr>
      </w:pPr>
      <w:r>
        <w:rPr>
          <w:rFonts w:hint="eastAsia"/>
          <w:b/>
          <w:bCs/>
          <w:lang w:val="en-US" w:eastAsia="zh-CN"/>
        </w:rPr>
        <w:t>9.1</w:t>
      </w:r>
      <w:r>
        <w:rPr>
          <w:rFonts w:hint="eastAsia"/>
          <w:b/>
          <w:bCs/>
        </w:rPr>
        <w:t>.3投资</w:t>
      </w:r>
      <w:r>
        <w:rPr>
          <w:rFonts w:hint="eastAsia"/>
          <w:b/>
          <w:bCs/>
          <w:lang w:val="en-US" w:eastAsia="zh-CN"/>
        </w:rPr>
        <w:t>概</w:t>
      </w:r>
      <w:r>
        <w:rPr>
          <w:rFonts w:hint="eastAsia"/>
          <w:b/>
          <w:bCs/>
        </w:rPr>
        <w:t>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本项目总投资397.2万元，其中建安工程费375.24万元，占总投资的94.5%；建设其他费21.96万元，占总投资的5.5%。</w:t>
      </w:r>
    </w:p>
    <w:p>
      <w:pPr>
        <w:bidi w:val="0"/>
        <w:rPr>
          <w:rFonts w:hint="eastAsia"/>
          <w:b/>
          <w:bCs/>
          <w:lang w:val="en-US" w:eastAsia="zh-CN"/>
        </w:rPr>
      </w:pPr>
      <w:r>
        <w:rPr>
          <w:rFonts w:hint="eastAsia"/>
          <w:b/>
          <w:bCs/>
          <w:lang w:val="en-US" w:eastAsia="zh-CN"/>
        </w:rPr>
        <w:t>9.1.4资金筹措</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本项目总投资为397.2万元。项目资金为自治区衔接资金。</w:t>
      </w:r>
    </w:p>
    <w:p>
      <w:pPr>
        <w:pStyle w:val="2"/>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pStyle w:val="2"/>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pStyle w:val="2"/>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5"/>
        <w:tblW w:w="14173"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7"/>
        <w:gridCol w:w="3446"/>
        <w:gridCol w:w="978"/>
        <w:gridCol w:w="972"/>
        <w:gridCol w:w="972"/>
        <w:gridCol w:w="975"/>
        <w:gridCol w:w="1421"/>
        <w:gridCol w:w="1423"/>
        <w:gridCol w:w="974"/>
        <w:gridCol w:w="1271"/>
        <w:gridCol w:w="9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 w:hRule="exact"/>
        </w:trPr>
        <w:tc>
          <w:tcPr>
            <w:tcW w:w="14260" w:type="dxa"/>
            <w:gridSpan w:val="11"/>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32"/>
                <w:szCs w:val="32"/>
                <w:u w:val="none"/>
                <w:lang w:val="en-US"/>
              </w:rPr>
            </w:pPr>
            <w:r>
              <w:rPr>
                <w:rFonts w:hint="eastAsia" w:ascii="宋体" w:hAnsi="宋体" w:eastAsia="宋体" w:cs="宋体"/>
                <w:b/>
                <w:bCs/>
                <w:i w:val="0"/>
                <w:iCs w:val="0"/>
                <w:color w:val="000000"/>
                <w:kern w:val="0"/>
                <w:sz w:val="32"/>
                <w:szCs w:val="32"/>
                <w:u w:val="none"/>
                <w:lang w:val="en-US" w:eastAsia="zh-CN" w:bidi="ar"/>
              </w:rPr>
              <w:t>塔城市阿不都拉乡水磨村粪污一体化项目概算表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752"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347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工程项目或费用名称</w:t>
            </w:r>
          </w:p>
        </w:tc>
        <w:tc>
          <w:tcPr>
            <w:tcW w:w="3920" w:type="dxa"/>
            <w:gridSpan w:val="4"/>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概算价值（万元）</w:t>
            </w:r>
          </w:p>
        </w:tc>
        <w:tc>
          <w:tcPr>
            <w:tcW w:w="1434"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总值</w:t>
            </w:r>
          </w:p>
        </w:tc>
        <w:tc>
          <w:tcPr>
            <w:tcW w:w="3692"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技术经济指标</w:t>
            </w:r>
          </w:p>
        </w:tc>
        <w:tc>
          <w:tcPr>
            <w:tcW w:w="983" w:type="dxa"/>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占总投资比例(﹪)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75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道路工程</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安装工程</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设备购置</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其他费用</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单位价值（元）</w:t>
            </w:r>
          </w:p>
        </w:tc>
        <w:tc>
          <w:tcPr>
            <w:tcW w:w="983"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75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I</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管网工程</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272.24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68.54%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75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排水主管网（DN300）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185.44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185.44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9760.00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190.00 </w:t>
            </w:r>
          </w:p>
        </w:tc>
        <w:tc>
          <w:tcPr>
            <w:tcW w:w="983"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75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排水支管网（DN200）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86.80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86.80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140.00 </w:t>
            </w:r>
          </w:p>
        </w:tc>
        <w:tc>
          <w:tcPr>
            <w:tcW w:w="983"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75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II</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检查井工程</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96.00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24.17%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75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排水检井</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96.00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96.00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座</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4000.00 </w:t>
            </w:r>
          </w:p>
        </w:tc>
        <w:tc>
          <w:tcPr>
            <w:tcW w:w="983"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exact"/>
        </w:trPr>
        <w:tc>
          <w:tcPr>
            <w:tcW w:w="75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III</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另行工程</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7.20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75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拆除沥青路面</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1.50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1.50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15.00 </w:t>
            </w:r>
          </w:p>
        </w:tc>
        <w:tc>
          <w:tcPr>
            <w:tcW w:w="983"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75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沥青路面恢复</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5.70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5.70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57.00 </w:t>
            </w:r>
          </w:p>
        </w:tc>
        <w:tc>
          <w:tcPr>
            <w:tcW w:w="983"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75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IV</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其它费用合计</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21.78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75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工程设计费</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7.51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7.51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375.44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exact"/>
        </w:trPr>
        <w:tc>
          <w:tcPr>
            <w:tcW w:w="75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工程勘察费</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2.63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2.63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375.44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75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工程监理费</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7.51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7.51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375.44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75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工程造价咨询服务费</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1.13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1.13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375.44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75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招投标代理费</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3.00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3.00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375.44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752"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Ⅰ+Ⅱ+Ⅲ+Ⅳ+Ⅴ+VI</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368.24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7.20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0.00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21.78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397.22 </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752" w:type="dxa"/>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V</w:t>
            </w:r>
          </w:p>
        </w:tc>
        <w:tc>
          <w:tcPr>
            <w:tcW w:w="7399" w:type="dxa"/>
            <w:gridSpan w:val="5"/>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建设项目总投资（I+II+III+IV+V）</w:t>
            </w:r>
          </w:p>
        </w:tc>
        <w:tc>
          <w:tcPr>
            <w:tcW w:w="1434"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397.22 </w:t>
            </w:r>
          </w:p>
        </w:tc>
        <w:tc>
          <w:tcPr>
            <w:tcW w:w="1434"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98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1278"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983" w:type="dxa"/>
            <w:tcBorders>
              <w:top w:val="single" w:color="000000" w:sz="4" w:space="0"/>
              <w:left w:val="single" w:color="000000" w:sz="4"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14260" w:type="dxa"/>
            <w:gridSpan w:val="11"/>
            <w:tcBorders>
              <w:top w:val="nil"/>
              <w:left w:val="nil"/>
              <w:bottom w:val="nil"/>
              <w:right w:val="nil"/>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注：本投资概算未包括土地使用费、私有财产收购费及部分不可预见的其他费用，不可作为准确投资依据，仅供建设单位参考。</w:t>
            </w:r>
          </w:p>
        </w:tc>
      </w:tr>
    </w:tbl>
    <w:p>
      <w:pPr>
        <w:rPr>
          <w:rFonts w:hint="eastAsi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jc w:val="center"/>
        <w:rPr>
          <w:rFonts w:hint="eastAsia"/>
          <w:lang w:val="en-US" w:eastAsia="zh-CN"/>
        </w:rPr>
      </w:pPr>
      <w:bookmarkStart w:id="138" w:name="_Toc28027"/>
      <w:r>
        <w:rPr>
          <w:rFonts w:hint="eastAsia"/>
          <w:lang w:eastAsia="zh-CN"/>
        </w:rPr>
        <w:t>第</w:t>
      </w:r>
      <w:r>
        <w:rPr>
          <w:rFonts w:hint="eastAsia"/>
          <w:lang w:val="en-US" w:eastAsia="zh-CN"/>
        </w:rPr>
        <w:t>十</w:t>
      </w:r>
      <w:r>
        <w:rPr>
          <w:rFonts w:hint="eastAsia"/>
          <w:lang w:eastAsia="zh-CN"/>
        </w:rPr>
        <w:t>章</w:t>
      </w:r>
      <w:r>
        <w:rPr>
          <w:rFonts w:hint="eastAsia"/>
          <w:lang w:val="en-US" w:eastAsia="zh-CN"/>
        </w:rPr>
        <w:t xml:space="preserve"> 工程招投标</w:t>
      </w:r>
      <w:bookmarkEnd w:id="138"/>
    </w:p>
    <w:bookmarkEnd w:id="122"/>
    <w:bookmarkEnd w:id="123"/>
    <w:bookmarkEnd w:id="124"/>
    <w:p>
      <w:pPr>
        <w:bidi w:val="0"/>
        <w:rPr>
          <w:rFonts w:hint="eastAsia"/>
          <w:b/>
          <w:bCs/>
          <w:sz w:val="32"/>
          <w:szCs w:val="24"/>
          <w:lang w:val="en-US" w:eastAsia="zh-CN"/>
        </w:rPr>
      </w:pPr>
      <w:bookmarkStart w:id="139" w:name="_Toc1262"/>
      <w:bookmarkStart w:id="140" w:name="_Toc11023"/>
      <w:r>
        <w:rPr>
          <w:rFonts w:hint="eastAsia"/>
          <w:b/>
          <w:bCs/>
          <w:sz w:val="32"/>
          <w:szCs w:val="24"/>
          <w:lang w:val="en-US" w:eastAsia="zh-CN"/>
        </w:rPr>
        <w:t>10.1招标工作的依据与原则</w:t>
      </w:r>
      <w:bookmarkEnd w:id="139"/>
    </w:p>
    <w:p>
      <w:pPr>
        <w:pageBreakBefore w:val="0"/>
        <w:kinsoku/>
        <w:overflowPunct/>
        <w:bidi w:val="0"/>
        <w:adjustRightInd w:val="0"/>
        <w:snapToGrid w:val="0"/>
        <w:spacing w:line="360" w:lineRule="auto"/>
        <w:ind w:firstLine="562" w:firstLineChars="200"/>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1、工作依据</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1"/>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cs="宋体"/>
          <w:color w:val="auto"/>
          <w:kern w:val="0"/>
          <w:sz w:val="28"/>
          <w:szCs w:val="28"/>
          <w:highlight w:val="none"/>
          <w:lang w:val="en-US" w:eastAsia="zh-CN" w:bidi="ar"/>
        </w:rPr>
        <w:t>1)</w:t>
      </w:r>
      <w:r>
        <w:rPr>
          <w:rFonts w:hint="eastAsia" w:ascii="宋体" w:hAnsi="宋体" w:eastAsia="宋体" w:cs="宋体"/>
          <w:color w:val="auto"/>
          <w:kern w:val="0"/>
          <w:sz w:val="28"/>
          <w:szCs w:val="28"/>
          <w:highlight w:val="none"/>
          <w:lang w:val="en-US" w:eastAsia="zh-CN" w:bidi="ar"/>
        </w:rPr>
        <w:t>《中华人民共和国招标投标法》2017修正；</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1"/>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cs="宋体"/>
          <w:color w:val="auto"/>
          <w:kern w:val="0"/>
          <w:sz w:val="28"/>
          <w:szCs w:val="28"/>
          <w:highlight w:val="none"/>
          <w:lang w:val="en-US" w:eastAsia="zh-CN" w:bidi="ar"/>
        </w:rPr>
        <w:t>2)</w:t>
      </w:r>
      <w:r>
        <w:rPr>
          <w:rFonts w:hint="eastAsia" w:ascii="宋体" w:hAnsi="宋体" w:eastAsia="宋体" w:cs="宋体"/>
          <w:color w:val="auto"/>
          <w:kern w:val="0"/>
          <w:sz w:val="28"/>
          <w:szCs w:val="28"/>
          <w:highlight w:val="none"/>
          <w:lang w:val="en-US" w:eastAsia="zh-CN" w:bidi="ar"/>
        </w:rPr>
        <w:t>《中华人民共和国招标投标法实施条例》中华人民共和国国务院令（第613号）；</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1"/>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cs="宋体"/>
          <w:color w:val="auto"/>
          <w:kern w:val="0"/>
          <w:sz w:val="28"/>
          <w:szCs w:val="28"/>
          <w:highlight w:val="none"/>
          <w:lang w:val="en-US" w:eastAsia="zh-CN" w:bidi="ar"/>
        </w:rPr>
        <w:t>3)</w:t>
      </w:r>
      <w:r>
        <w:rPr>
          <w:rFonts w:hint="eastAsia" w:ascii="宋体" w:hAnsi="宋体" w:eastAsia="宋体" w:cs="宋体"/>
          <w:color w:val="auto"/>
          <w:kern w:val="0"/>
          <w:sz w:val="28"/>
          <w:szCs w:val="28"/>
          <w:highlight w:val="none"/>
          <w:lang w:val="en-US" w:eastAsia="zh-CN" w:bidi="ar"/>
        </w:rPr>
        <w:t>《工程建设施工招标投标管理办法》（国家计委、建设部、铁道部、交通部、信息产业部、水利部、中国民用航空总局〔2003〕第30号令）；</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1"/>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cs="宋体"/>
          <w:color w:val="auto"/>
          <w:kern w:val="0"/>
          <w:sz w:val="28"/>
          <w:szCs w:val="28"/>
          <w:highlight w:val="none"/>
          <w:lang w:val="en-US" w:eastAsia="zh-CN" w:bidi="ar"/>
        </w:rPr>
        <w:t>4)</w:t>
      </w:r>
      <w:r>
        <w:rPr>
          <w:rFonts w:hint="eastAsia" w:ascii="宋体" w:hAnsi="宋体" w:eastAsia="宋体" w:cs="宋体"/>
          <w:color w:val="auto"/>
          <w:kern w:val="0"/>
          <w:sz w:val="28"/>
          <w:szCs w:val="28"/>
          <w:highlight w:val="none"/>
          <w:lang w:val="en-US" w:eastAsia="zh-CN" w:bidi="ar"/>
        </w:rPr>
        <w:t>《必须招标的工程项目规模》（国家发展和改革委员会令〔2018〕第16号）；</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1"/>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cs="宋体"/>
          <w:color w:val="auto"/>
          <w:kern w:val="0"/>
          <w:sz w:val="28"/>
          <w:szCs w:val="28"/>
          <w:highlight w:val="none"/>
          <w:lang w:val="en-US" w:eastAsia="zh-CN" w:bidi="ar"/>
        </w:rPr>
        <w:t>5)</w:t>
      </w:r>
      <w:r>
        <w:rPr>
          <w:rFonts w:hint="eastAsia" w:ascii="宋体" w:hAnsi="宋体" w:eastAsia="宋体" w:cs="宋体"/>
          <w:color w:val="auto"/>
          <w:kern w:val="0"/>
          <w:sz w:val="28"/>
          <w:szCs w:val="28"/>
          <w:highlight w:val="none"/>
          <w:lang w:val="en-US" w:eastAsia="zh-CN" w:bidi="ar"/>
        </w:rPr>
        <w:t>《必须招标的基础设施和公用事业项目范围规定》（发改法规规（2018）843号）的规定；</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1"/>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cs="宋体"/>
          <w:color w:val="auto"/>
          <w:kern w:val="0"/>
          <w:sz w:val="28"/>
          <w:szCs w:val="28"/>
          <w:highlight w:val="none"/>
          <w:lang w:val="en-US" w:eastAsia="zh-CN" w:bidi="ar"/>
        </w:rPr>
        <w:t>6)</w:t>
      </w:r>
      <w:r>
        <w:rPr>
          <w:rFonts w:hint="eastAsia" w:ascii="宋体" w:hAnsi="宋体" w:eastAsia="宋体" w:cs="宋体"/>
          <w:color w:val="auto"/>
          <w:kern w:val="0"/>
          <w:sz w:val="28"/>
          <w:szCs w:val="28"/>
          <w:highlight w:val="none"/>
          <w:lang w:val="en-US" w:eastAsia="zh-CN" w:bidi="ar"/>
        </w:rPr>
        <w:t>《房屋建筑和市政基础设施工程施工招标投标管理办法》（2001年6月1日建设部令第89号发布，根据2018年9月28日住房和城乡建设部令第43号、2019年3月13日住房和城乡建设部令第47号修正）；</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1"/>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cs="宋体"/>
          <w:color w:val="auto"/>
          <w:kern w:val="0"/>
          <w:sz w:val="28"/>
          <w:szCs w:val="28"/>
          <w:highlight w:val="none"/>
          <w:lang w:val="en-US" w:eastAsia="zh-CN" w:bidi="ar"/>
        </w:rPr>
        <w:t>7)</w:t>
      </w:r>
      <w:r>
        <w:rPr>
          <w:rFonts w:hint="eastAsia" w:ascii="宋体" w:hAnsi="宋体" w:eastAsia="宋体" w:cs="宋体"/>
          <w:color w:val="auto"/>
          <w:kern w:val="0"/>
          <w:sz w:val="28"/>
          <w:szCs w:val="28"/>
          <w:highlight w:val="none"/>
          <w:lang w:val="en-US" w:eastAsia="zh-CN" w:bidi="ar"/>
        </w:rPr>
        <w:t>《新疆维吾尔自治区建设工程招标投标管理办法》（新建法〔2007〕7号）。</w:t>
      </w:r>
    </w:p>
    <w:p>
      <w:pPr>
        <w:pageBreakBefore w:val="0"/>
        <w:kinsoku/>
        <w:overflowPunct/>
        <w:bidi w:val="0"/>
        <w:adjustRightInd w:val="0"/>
        <w:snapToGrid w:val="0"/>
        <w:spacing w:line="360" w:lineRule="auto"/>
        <w:ind w:firstLine="562" w:firstLineChars="200"/>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2、工作原则</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本建设项目严格按照《中华人民共和国招标投标法实施条例</w:t>
      </w:r>
      <w:r>
        <w:rPr>
          <w:rFonts w:hint="eastAsia" w:ascii="宋体" w:hAnsi="宋体" w:cs="宋体"/>
          <w:color w:val="auto"/>
          <w:kern w:val="0"/>
          <w:sz w:val="28"/>
          <w:szCs w:val="28"/>
          <w:highlight w:val="none"/>
          <w:lang w:val="en-US" w:eastAsia="zh-CN" w:bidi="ar"/>
        </w:rPr>
        <w:t>》《</w:t>
      </w:r>
      <w:r>
        <w:rPr>
          <w:rFonts w:hint="eastAsia" w:ascii="宋体" w:hAnsi="宋体" w:eastAsia="宋体" w:cs="宋体"/>
          <w:color w:val="auto"/>
          <w:kern w:val="0"/>
          <w:sz w:val="28"/>
          <w:szCs w:val="28"/>
          <w:highlight w:val="none"/>
          <w:lang w:val="en-US" w:eastAsia="zh-CN" w:bidi="ar"/>
        </w:rPr>
        <w:t>必须招标的工程项目规模》（国家发展和改革委员会令〔2018〕第16号）、《必须招标的基础设施和公用事业项目范围规定》（发改法规规（2018）843号）的规定、《房屋建筑和市政基础设施工程施工招标投标管理办法》《新疆维吾尔自治区建设工程招标投标管理办法》等规定的相关</w:t>
      </w:r>
      <w:r>
        <w:rPr>
          <w:rFonts w:hint="eastAsia" w:ascii="宋体" w:hAnsi="宋体" w:cs="宋体"/>
          <w:color w:val="auto"/>
          <w:kern w:val="0"/>
          <w:sz w:val="28"/>
          <w:szCs w:val="28"/>
          <w:highlight w:val="none"/>
          <w:lang w:val="en-US" w:eastAsia="zh-CN" w:bidi="ar"/>
        </w:rPr>
        <w:t>法律法规</w:t>
      </w:r>
      <w:r>
        <w:rPr>
          <w:rFonts w:hint="eastAsia" w:ascii="宋体" w:hAnsi="宋体" w:eastAsia="宋体" w:cs="宋体"/>
          <w:color w:val="auto"/>
          <w:kern w:val="0"/>
          <w:sz w:val="28"/>
          <w:szCs w:val="28"/>
          <w:highlight w:val="none"/>
          <w:lang w:val="en-US" w:eastAsia="zh-CN" w:bidi="ar"/>
        </w:rPr>
        <w:t>，本着公开、公平、公正和诚实信用的原则开展项目的招投标工作，并接受有关行政监督部门依法实施的监督、检查，杜绝各种违纪、违法行为的发生。</w:t>
      </w:r>
    </w:p>
    <w:p>
      <w:pPr>
        <w:pageBreakBefore w:val="0"/>
        <w:kinsoku/>
        <w:overflowPunct/>
        <w:bidi w:val="0"/>
        <w:adjustRightInd w:val="0"/>
        <w:snapToGrid w:val="0"/>
        <w:spacing w:line="360" w:lineRule="auto"/>
        <w:ind w:firstLine="562" w:firstLineChars="200"/>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3、招标范围</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全部或者部分使用国有资金投资或者国家融资的项目包括：</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（一）使用预算资金200万元人民币以上，并且该资金占投资额10%以上的项目；</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（二）使用国有</w:t>
      </w:r>
      <w:r>
        <w:rPr>
          <w:rFonts w:hint="eastAsia" w:ascii="宋体" w:hAnsi="宋体" w:cs="宋体"/>
          <w:color w:val="auto"/>
          <w:kern w:val="0"/>
          <w:sz w:val="28"/>
          <w:szCs w:val="28"/>
          <w:highlight w:val="none"/>
          <w:lang w:val="en-US" w:eastAsia="zh-CN" w:bidi="ar"/>
        </w:rPr>
        <w:t>单位</w:t>
      </w:r>
      <w:r>
        <w:rPr>
          <w:rFonts w:hint="eastAsia" w:ascii="宋体" w:hAnsi="宋体" w:eastAsia="宋体" w:cs="宋体"/>
          <w:color w:val="auto"/>
          <w:kern w:val="0"/>
          <w:sz w:val="28"/>
          <w:szCs w:val="28"/>
          <w:highlight w:val="none"/>
          <w:lang w:val="en-US" w:eastAsia="zh-CN" w:bidi="ar"/>
        </w:rPr>
        <w:t>事业单位资金，并且该资金占控股或者主导地位的项目。</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本规定第二条至第四条规定范围内的项目，其勘察、设计、施工、监理以及与工程建设有关的重要设备、材料等的采购达到下列标准之一的，必须招标；</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（一）施工单项合</w:t>
      </w:r>
      <w:r>
        <w:rPr>
          <w:rFonts w:hint="eastAsia" w:ascii="宋体" w:hAnsi="宋体" w:cs="宋体"/>
          <w:color w:val="auto"/>
          <w:kern w:val="0"/>
          <w:sz w:val="28"/>
          <w:szCs w:val="28"/>
          <w:highlight w:val="none"/>
          <w:lang w:val="en-US" w:eastAsia="zh-CN" w:bidi="ar"/>
        </w:rPr>
        <w:t>概</w:t>
      </w:r>
      <w:r>
        <w:rPr>
          <w:rFonts w:hint="eastAsia" w:ascii="宋体" w:hAnsi="宋体" w:eastAsia="宋体" w:cs="宋体"/>
          <w:color w:val="auto"/>
          <w:kern w:val="0"/>
          <w:sz w:val="28"/>
          <w:szCs w:val="28"/>
          <w:highlight w:val="none"/>
          <w:lang w:val="en-US" w:eastAsia="zh-CN" w:bidi="ar"/>
        </w:rPr>
        <w:t>算价在400万元人民币以上；</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（二）重要设备、材料等货物的采购，单项合同</w:t>
      </w:r>
      <w:r>
        <w:rPr>
          <w:rFonts w:hint="eastAsia" w:ascii="宋体" w:hAnsi="宋体" w:cs="宋体"/>
          <w:color w:val="auto"/>
          <w:kern w:val="2"/>
          <w:sz w:val="28"/>
          <w:szCs w:val="28"/>
          <w:lang w:val="en-US" w:eastAsia="zh-CN"/>
        </w:rPr>
        <w:t>概</w:t>
      </w:r>
      <w:r>
        <w:rPr>
          <w:rFonts w:hint="eastAsia" w:ascii="宋体" w:hAnsi="宋体" w:eastAsia="宋体" w:cs="宋体"/>
          <w:color w:val="auto"/>
          <w:kern w:val="0"/>
          <w:sz w:val="28"/>
          <w:szCs w:val="28"/>
          <w:highlight w:val="none"/>
          <w:lang w:val="en-US" w:eastAsia="zh-CN" w:bidi="ar"/>
        </w:rPr>
        <w:t>算价在200万元人民币以上；</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（三）勘察、设计、监理等服务的采购，单项合同</w:t>
      </w:r>
      <w:r>
        <w:rPr>
          <w:rFonts w:hint="eastAsia" w:ascii="宋体" w:hAnsi="宋体" w:cs="宋体"/>
          <w:color w:val="auto"/>
          <w:kern w:val="2"/>
          <w:sz w:val="28"/>
          <w:szCs w:val="28"/>
          <w:lang w:val="en-US" w:eastAsia="zh-CN"/>
        </w:rPr>
        <w:t>概</w:t>
      </w:r>
      <w:r>
        <w:rPr>
          <w:rFonts w:hint="eastAsia" w:ascii="宋体" w:hAnsi="宋体" w:eastAsia="宋体" w:cs="宋体"/>
          <w:color w:val="auto"/>
          <w:kern w:val="0"/>
          <w:sz w:val="28"/>
          <w:szCs w:val="28"/>
          <w:highlight w:val="none"/>
          <w:lang w:val="en-US" w:eastAsia="zh-CN" w:bidi="ar"/>
        </w:rPr>
        <w:t>算价在100万元人民币以上。</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（四）同一项目中可以合并进行的勘察、设计、施工、监理以及与工程建设有关的重要设备、材料等的采购，合同</w:t>
      </w:r>
      <w:r>
        <w:rPr>
          <w:rFonts w:hint="eastAsia" w:ascii="宋体" w:hAnsi="宋体" w:cs="宋体"/>
          <w:color w:val="auto"/>
          <w:kern w:val="2"/>
          <w:sz w:val="28"/>
          <w:szCs w:val="28"/>
          <w:lang w:val="en-US" w:eastAsia="zh-CN"/>
        </w:rPr>
        <w:t>概</w:t>
      </w:r>
      <w:r>
        <w:rPr>
          <w:rFonts w:hint="eastAsia" w:ascii="宋体" w:hAnsi="宋体" w:eastAsia="宋体" w:cs="宋体"/>
          <w:color w:val="auto"/>
          <w:kern w:val="0"/>
          <w:sz w:val="28"/>
          <w:szCs w:val="28"/>
          <w:highlight w:val="none"/>
          <w:lang w:val="en-US" w:eastAsia="zh-CN" w:bidi="ar"/>
        </w:rPr>
        <w:t>算价合计达到前款规定标准的，必须招标。</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本项目</w:t>
      </w:r>
      <w:r>
        <w:rPr>
          <w:rFonts w:hint="eastAsia" w:ascii="宋体" w:hAnsi="宋体" w:cs="宋体"/>
          <w:color w:val="auto"/>
          <w:kern w:val="0"/>
          <w:sz w:val="28"/>
          <w:szCs w:val="28"/>
          <w:highlight w:val="none"/>
          <w:lang w:val="en-US" w:eastAsia="zh-CN" w:bidi="ar"/>
        </w:rPr>
        <w:t>建安</w:t>
      </w:r>
      <w:r>
        <w:rPr>
          <w:rFonts w:hint="eastAsia" w:ascii="宋体" w:hAnsi="宋体" w:eastAsia="宋体" w:cs="宋体"/>
          <w:color w:val="auto"/>
          <w:kern w:val="0"/>
          <w:sz w:val="28"/>
          <w:szCs w:val="28"/>
          <w:highlight w:val="none"/>
          <w:lang w:val="en-US" w:eastAsia="zh-CN" w:bidi="ar"/>
        </w:rPr>
        <w:t>工程</w:t>
      </w:r>
      <w:r>
        <w:rPr>
          <w:rFonts w:hint="eastAsia" w:ascii="宋体" w:hAnsi="宋体" w:cs="宋体"/>
          <w:color w:val="auto"/>
          <w:kern w:val="0"/>
          <w:sz w:val="28"/>
          <w:szCs w:val="28"/>
          <w:highlight w:val="none"/>
          <w:lang w:val="en-US" w:eastAsia="zh-CN" w:bidi="ar"/>
        </w:rPr>
        <w:t>、设备购置应采取</w:t>
      </w:r>
      <w:r>
        <w:rPr>
          <w:rFonts w:hint="eastAsia" w:ascii="宋体" w:hAnsi="宋体" w:eastAsia="宋体" w:cs="宋体"/>
          <w:color w:val="auto"/>
          <w:kern w:val="0"/>
          <w:sz w:val="28"/>
          <w:szCs w:val="28"/>
          <w:highlight w:val="none"/>
          <w:lang w:val="en-US" w:eastAsia="zh-CN" w:bidi="ar"/>
        </w:rPr>
        <w:t>招标方式。</w:t>
      </w:r>
    </w:p>
    <w:p>
      <w:pPr>
        <w:pageBreakBefore w:val="0"/>
        <w:kinsoku/>
        <w:overflowPunct/>
        <w:bidi w:val="0"/>
        <w:adjustRightInd w:val="0"/>
        <w:snapToGrid w:val="0"/>
        <w:spacing w:line="360" w:lineRule="auto"/>
        <w:ind w:firstLine="562" w:firstLineChars="200"/>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4、招标组织形式</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（1）大型基础设施、公用事业等关系社会公共利益、公众安全的项目。</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（2）全部或部分使用国有资金投资或者国家融资的项目。</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（3）使用国际组织或者外国政府贷款、援助资金的项目。</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（4）法律或者国务院规定的其他必须招标的项目。</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一是指招标人以投标邀请书的方式邀请投标；二是指在政府采购负责人在省级以上人民政府财政部门指定的政府采购信息媒体发布资格预审公告，评审投标资格后随机选择投标人。在招标投标中的邀请招标是指招标人以投标邀请书的方式邀请特定的法人或者其他组织投标；在政府采购中的邀请招标是指货物或者服务项目采购人在省级以上人民政府财政部门指定的政府采购信息媒体发布资格预审公告，公布投标人资格条件，经过对投标人的资格进行审查，采购人从评审合格的投标人中通过随机方式选择三家以上的投标人作为正式的投标人，向其发出投标邀请书邀请其参与投标。</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本项目应当向三个以上具备承担招标项目的能力、资信良好的特定的法人或者其他组织发出投标邀请书。</w:t>
      </w:r>
    </w:p>
    <w:p>
      <w:pPr>
        <w:pageBreakBefore w:val="0"/>
        <w:kinsoku/>
        <w:overflowPunct/>
        <w:bidi w:val="0"/>
        <w:adjustRightInd w:val="0"/>
        <w:snapToGrid w:val="0"/>
        <w:spacing w:line="360" w:lineRule="auto"/>
        <w:ind w:firstLine="562" w:firstLineChars="200"/>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5、投标工作</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1）研究招标文件。重点是投标者须知，合同条款，设计图纸，招标范围，供货范围，设备规格、型号、数量，工程量表，技术规范要求及特殊要求等。</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2）进行详细的调查研究。</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（1）投标工程有关的法律法规、劳动力与材料供应状况，设备市场情况，专业公司的经营状况，价格水平等。</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（2）认真调查研究具体工程所在地的自然条件、施工条件及环境。如地质地貌、气候、交通、水电等的供应和其他资源状况等。</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（3）工程业主方项目资金落实情况，了解参加投标竞争的投标人状况。</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3）复核工程量</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4）编制投标文件</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投标人应当按照招标文件的规定编制投标文件，投标文件应载明的事项有：投标函；投标人资格、资信证明文件；投标项目方案及说明；投标价格；投标保证金或者其他形式的担保；招标文件要求具备的其他内容。</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5）提交投标文件</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（1）注意投标的截止日期，即提交标书的最后期限，超过招标文件规定的期限视为放弃投标。</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（2）投标文件应当对招标文件提出的实质要求和条件作出响应，如技术标、质量标准、工期、进度计划、经济标（投标保证金、投标报价等）等。</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（3）投标文件应按招标文件要求进行响应及编制。</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kern w:val="0"/>
          <w:sz w:val="21"/>
        </w:rPr>
      </w:pPr>
      <w:r>
        <w:rPr>
          <w:rFonts w:hint="eastAsia" w:ascii="宋体" w:hAnsi="宋体" w:eastAsia="宋体" w:cs="宋体"/>
          <w:color w:val="auto"/>
          <w:kern w:val="0"/>
          <w:sz w:val="28"/>
          <w:szCs w:val="28"/>
          <w:highlight w:val="none"/>
          <w:lang w:val="en-US" w:eastAsia="zh-CN" w:bidi="ar"/>
        </w:rPr>
        <w:t>故工程投标程序是</w:t>
      </w:r>
      <w:r>
        <w:rPr>
          <w:rFonts w:hint="eastAsia" w:ascii="宋体" w:hAnsi="宋体" w:cs="宋体"/>
          <w:color w:val="auto"/>
          <w:kern w:val="0"/>
          <w:sz w:val="28"/>
          <w:szCs w:val="28"/>
          <w:highlight w:val="none"/>
          <w:lang w:val="en-US" w:eastAsia="zh-CN" w:bidi="ar"/>
        </w:rPr>
        <w:t>：</w:t>
      </w:r>
      <w:r>
        <w:rPr>
          <w:rFonts w:hint="eastAsia" w:ascii="宋体" w:hAnsi="宋体" w:eastAsia="宋体" w:cs="宋体"/>
          <w:color w:val="auto"/>
          <w:kern w:val="0"/>
          <w:sz w:val="28"/>
          <w:szCs w:val="28"/>
          <w:highlight w:val="none"/>
          <w:lang w:val="en-US" w:eastAsia="zh-CN" w:bidi="ar"/>
        </w:rPr>
        <w:t>研究招标文件→进行详细的调查研究→复核工程量→编制投标文件→提交投标文件</w:t>
      </w:r>
      <w:r>
        <w:rPr>
          <w:rFonts w:hint="eastAsia" w:ascii="宋体" w:hAnsi="宋体" w:eastAsia="宋体" w:cs="宋体"/>
          <w:kern w:val="0"/>
          <w:sz w:val="21"/>
        </w:rPr>
        <w:drawing>
          <wp:inline distT="0" distB="0" distL="114300" distR="114300">
            <wp:extent cx="5202555" cy="3034665"/>
            <wp:effectExtent l="0" t="0" r="0" b="0"/>
            <wp:docPr id="25" name="ECB019B1-382A-4266-B25C-5B523AA43C14-1" descr="C:/Users/Administrator/AppData/Local/Temp/wps.oRyIi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B019B1-382A-4266-B25C-5B523AA43C14-1" descr="C:/Users/Administrator/AppData/Local/Temp/wps.oRyIiVwps"/>
                    <pic:cNvPicPr>
                      <a:picLocks noChangeAspect="1"/>
                    </pic:cNvPicPr>
                  </pic:nvPicPr>
                  <pic:blipFill>
                    <a:blip r:embed="rId16"/>
                    <a:stretch>
                      <a:fillRect/>
                    </a:stretch>
                  </pic:blipFill>
                  <pic:spPr>
                    <a:xfrm>
                      <a:off x="0" y="0"/>
                      <a:ext cx="5202555" cy="30346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both"/>
        <w:textAlignment w:val="auto"/>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6、评标的人员组成和资格要求</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公开招标或邀请招标的评标委员会由采购人代表和有关技术、经济等方面的专家组成，成员人数须为五人以上单数。其中，技术、经济等方面的专家不得少于成员总数的三分之二。采购数额在300万元以上、技术复杂的项目，评标委员会中技术、经济方面的专家人数须为五人以上单数，在招投标过程中，为保证项目的公开，对评标委员会的组成有如下要求：</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1）评标委员会由项目建设单位及相关部门代表和有关技术、经济等方面的专家组成。根据本方案此项目在开标时成立评标委员会。评标委员会主任由全体专家无记名投票产生，票数最高者为评标委员会主任，评标委员会采用单数制，但最低不少于7人，并且技术、经济等方面的专家不得少于成员总数的三分之二。评标委员会严格按照招标文件确定的评标标准和方法，对投标文件进行评审和比较。</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2）评委会成员中级职称以上，从事本专业</w:t>
      </w:r>
      <w:r>
        <w:rPr>
          <w:rFonts w:hint="eastAsia" w:ascii="宋体" w:hAnsi="宋体" w:cs="宋体"/>
          <w:color w:val="auto"/>
          <w:kern w:val="0"/>
          <w:sz w:val="28"/>
          <w:szCs w:val="28"/>
          <w:highlight w:val="none"/>
          <w:lang w:val="en-US" w:eastAsia="zh-CN" w:bidi="ar"/>
        </w:rPr>
        <w:t>至少在8年</w:t>
      </w:r>
      <w:r>
        <w:rPr>
          <w:rFonts w:hint="eastAsia" w:ascii="宋体" w:hAnsi="宋体" w:eastAsia="宋体" w:cs="宋体"/>
          <w:color w:val="auto"/>
          <w:kern w:val="0"/>
          <w:sz w:val="28"/>
          <w:szCs w:val="28"/>
          <w:highlight w:val="none"/>
          <w:lang w:val="en-US" w:eastAsia="zh-CN" w:bidi="ar"/>
        </w:rPr>
        <w:t>，对工程项目有较深入的研究，并且职业道德良好，与投标单位无任何利害关系，评标委员会成员应当客观公正</w:t>
      </w:r>
      <w:r>
        <w:rPr>
          <w:rFonts w:hint="eastAsia" w:ascii="宋体" w:hAnsi="宋体" w:cs="宋体"/>
          <w:color w:val="auto"/>
          <w:kern w:val="0"/>
          <w:sz w:val="28"/>
          <w:szCs w:val="28"/>
          <w:highlight w:val="none"/>
          <w:lang w:val="en-US" w:eastAsia="zh-CN" w:bidi="ar"/>
        </w:rPr>
        <w:t>地</w:t>
      </w:r>
      <w:r>
        <w:rPr>
          <w:rFonts w:hint="eastAsia" w:ascii="宋体" w:hAnsi="宋体" w:eastAsia="宋体" w:cs="宋体"/>
          <w:color w:val="auto"/>
          <w:kern w:val="0"/>
          <w:sz w:val="28"/>
          <w:szCs w:val="28"/>
          <w:highlight w:val="none"/>
          <w:lang w:val="en-US" w:eastAsia="zh-CN" w:bidi="ar"/>
        </w:rPr>
        <w:t>履行职务，遵守职业道德，对所提出的评审意见承担个人责任。</w:t>
      </w:r>
    </w:p>
    <w:p>
      <w:pPr>
        <w:pageBreakBefore w:val="0"/>
        <w:kinsoku/>
        <w:overflowPunct/>
        <w:bidi w:val="0"/>
        <w:adjustRightInd w:val="0"/>
        <w:snapToGrid w:val="0"/>
        <w:spacing w:line="360" w:lineRule="auto"/>
        <w:ind w:firstLine="562" w:firstLineChars="200"/>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7、招标方案</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561"/>
        <w:jc w:val="left"/>
        <w:textAlignment w:val="auto"/>
        <w:rPr>
          <w:rFonts w:hint="eastAsia" w:ascii="宋体" w:hAnsi="宋体" w:eastAsia="宋体" w:cs="宋体"/>
          <w:color w:val="auto"/>
          <w:kern w:val="0"/>
          <w:sz w:val="28"/>
          <w:szCs w:val="28"/>
          <w:highlight w:val="none"/>
          <w:lang w:val="en-US" w:eastAsia="zh-CN" w:bidi="ar"/>
        </w:rPr>
      </w:pPr>
      <w:bookmarkStart w:id="141" w:name="_Toc19502_WPSOffice_Level1"/>
      <w:r>
        <w:rPr>
          <w:rFonts w:hint="eastAsia" w:ascii="宋体" w:hAnsi="宋体" w:eastAsia="宋体" w:cs="宋体"/>
          <w:color w:val="auto"/>
          <w:kern w:val="0"/>
          <w:sz w:val="28"/>
          <w:szCs w:val="28"/>
          <w:highlight w:val="none"/>
          <w:lang w:val="en-US" w:eastAsia="zh-CN" w:bidi="ar"/>
        </w:rPr>
        <w:t>为保证本项目依法、有序实施，确保项目建设的工程质量，缩短工程建设期，防范和化解工程建设中的违规行为，规范和加强以工代赈管理，提高以工代赈资金使用效益，改善农村地区生产生活条件和发展环境，促进农民收入，根据中共中央、国务院印发的《中国农村扶贫开发纲要（2011—2020 年）》（中发〔2011〕10 号）和中共中央办公厅、国务院办公厅《关于创新机制扎实推进农村扶贫开发工作的意见》以及国家其他有关要求，编制</w:t>
      </w:r>
      <w:r>
        <w:rPr>
          <w:rFonts w:hint="eastAsia" w:ascii="宋体" w:hAnsi="宋体" w:cs="宋体"/>
          <w:kern w:val="2"/>
          <w:sz w:val="28"/>
          <w:szCs w:val="22"/>
          <w:lang w:val="en-US" w:eastAsia="zh-CN" w:bidi="ar-SA"/>
        </w:rPr>
        <w:t>阿不都拉乡村水磨村</w:t>
      </w:r>
      <w:r>
        <w:rPr>
          <w:rFonts w:hint="eastAsia" w:ascii="宋体" w:hAnsi="宋体" w:eastAsia="宋体" w:cs="宋体"/>
          <w:color w:val="auto"/>
          <w:kern w:val="0"/>
          <w:sz w:val="28"/>
          <w:szCs w:val="28"/>
          <w:highlight w:val="none"/>
          <w:lang w:val="en-US" w:eastAsia="zh-CN" w:bidi="ar"/>
        </w:rPr>
        <w:t>污水处理建设项目招标初步方案如下：</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招标方式分为公开招标和邀请招标两种：</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1.公开招标，是指招标人以招标公告的方式邀请不特定的法人或者其他组织投标。</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2.邀请招标，是指招标人以投标邀请书的方式邀请特定的法人或者其他组织投标。</w:t>
      </w:r>
    </w:p>
    <w:p>
      <w:pPr>
        <w:pageBreakBefore w:val="0"/>
        <w:widowControl/>
        <w:shd w:val="clear"/>
        <w:kinsoku/>
        <w:overflowPunct/>
        <w:bidi w:val="0"/>
        <w:adjustRightInd w:val="0"/>
        <w:snapToGrid w:val="0"/>
        <w:spacing w:line="360" w:lineRule="auto"/>
        <w:ind w:firstLine="56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由于公开招标的招标人有较大的选择范围，可在众多的投标人中选定招人合理、工期较短、信誉良好的承包商，有助于打破垄断，实行公平竞争。故本项目采取公开招标的方式。</w:t>
      </w:r>
    </w:p>
    <w:p>
      <w:pPr>
        <w:jc w:val="center"/>
        <w:rPr>
          <w:rFonts w:ascii="宋体" w:hAnsi="宋体"/>
          <w:color w:val="auto"/>
        </w:rPr>
      </w:pPr>
      <w:r>
        <w:rPr>
          <w:rFonts w:ascii="宋体" w:hAnsi="宋体"/>
          <w:color w:val="auto"/>
          <w:sz w:val="28"/>
          <w:szCs w:val="28"/>
        </w:rPr>
        <w:t>招标基本情况表</w:t>
      </w:r>
    </w:p>
    <w:p>
      <w:pPr>
        <w:rPr>
          <w:rFonts w:hint="eastAsia" w:ascii="宋体" w:hAnsi="宋体" w:eastAsia="宋体"/>
          <w:color w:val="auto"/>
          <w:sz w:val="21"/>
          <w:szCs w:val="21"/>
          <w:lang w:eastAsia="zh-CN"/>
        </w:rPr>
      </w:pPr>
      <w:r>
        <w:rPr>
          <w:rFonts w:ascii="宋体" w:hAnsi="宋体" w:eastAsia="宋体"/>
          <w:color w:val="auto"/>
          <w:sz w:val="21"/>
          <w:szCs w:val="21"/>
        </w:rPr>
        <w:t>项目名称：</w:t>
      </w:r>
      <w:r>
        <w:rPr>
          <w:rFonts w:hint="eastAsia" w:ascii="宋体" w:hAnsi="宋体" w:eastAsia="宋体"/>
          <w:color w:val="auto"/>
          <w:sz w:val="21"/>
          <w:szCs w:val="21"/>
        </w:rPr>
        <w:t>阿不都拉乡村水磨村</w:t>
      </w:r>
      <w:r>
        <w:rPr>
          <w:rFonts w:hint="eastAsia" w:ascii="宋体" w:hAnsi="宋体" w:eastAsia="宋体"/>
          <w:color w:val="auto"/>
          <w:sz w:val="21"/>
          <w:szCs w:val="21"/>
          <w:lang w:val="en-US" w:eastAsia="zh-CN"/>
        </w:rPr>
        <w:t>污水处理建设项目</w:t>
      </w:r>
    </w:p>
    <w:p>
      <w:pPr>
        <w:jc w:val="right"/>
        <w:rPr>
          <w:rFonts w:ascii="宋体" w:hAnsi="宋体"/>
          <w:color w:val="auto"/>
          <w:sz w:val="21"/>
          <w:szCs w:val="21"/>
        </w:rPr>
      </w:pPr>
      <w:r>
        <w:rPr>
          <w:rFonts w:ascii="宋体" w:hAnsi="宋体"/>
          <w:color w:val="auto"/>
          <w:sz w:val="21"/>
          <w:szCs w:val="21"/>
        </w:rPr>
        <w:t xml:space="preserve"> 单位：万元</w:t>
      </w:r>
    </w:p>
    <w:tbl>
      <w:tblPr>
        <w:tblStyle w:val="15"/>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9"/>
        <w:gridCol w:w="1109"/>
        <w:gridCol w:w="630"/>
        <w:gridCol w:w="594"/>
        <w:gridCol w:w="489"/>
        <w:gridCol w:w="489"/>
        <w:gridCol w:w="565"/>
        <w:gridCol w:w="634"/>
        <w:gridCol w:w="725"/>
        <w:gridCol w:w="1241"/>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559" w:type="dxa"/>
            <w:vMerge w:val="restart"/>
            <w:noWrap w:val="0"/>
            <w:vAlign w:val="center"/>
          </w:tcPr>
          <w:p>
            <w:pPr>
              <w:jc w:val="center"/>
              <w:rPr>
                <w:rFonts w:ascii="宋体" w:hAnsi="宋体"/>
                <w:color w:val="auto"/>
                <w:sz w:val="21"/>
                <w:szCs w:val="21"/>
              </w:rPr>
            </w:pPr>
            <w:r>
              <w:rPr>
                <w:rFonts w:ascii="宋体" w:hAnsi="宋体"/>
                <w:color w:val="auto"/>
                <w:sz w:val="21"/>
                <w:szCs w:val="21"/>
              </w:rPr>
              <w:t>序号</w:t>
            </w:r>
          </w:p>
        </w:tc>
        <w:tc>
          <w:tcPr>
            <w:tcW w:w="1109" w:type="dxa"/>
            <w:vMerge w:val="restart"/>
            <w:noWrap w:val="0"/>
            <w:vAlign w:val="center"/>
          </w:tcPr>
          <w:p>
            <w:pPr>
              <w:jc w:val="center"/>
              <w:rPr>
                <w:rFonts w:ascii="宋体" w:hAnsi="宋体"/>
                <w:color w:val="auto"/>
                <w:sz w:val="21"/>
                <w:szCs w:val="21"/>
              </w:rPr>
            </w:pPr>
            <w:r>
              <w:rPr>
                <w:rFonts w:ascii="宋体" w:hAnsi="宋体"/>
                <w:color w:val="auto"/>
                <w:sz w:val="21"/>
                <w:szCs w:val="21"/>
              </w:rPr>
              <w:t>内容</w:t>
            </w:r>
          </w:p>
        </w:tc>
        <w:tc>
          <w:tcPr>
            <w:tcW w:w="1224" w:type="dxa"/>
            <w:gridSpan w:val="2"/>
            <w:noWrap w:val="0"/>
            <w:vAlign w:val="center"/>
          </w:tcPr>
          <w:p>
            <w:pPr>
              <w:jc w:val="center"/>
              <w:rPr>
                <w:rFonts w:ascii="宋体" w:hAnsi="宋体"/>
                <w:color w:val="auto"/>
                <w:sz w:val="21"/>
                <w:szCs w:val="21"/>
              </w:rPr>
            </w:pPr>
            <w:r>
              <w:rPr>
                <w:rFonts w:ascii="宋体" w:hAnsi="宋体"/>
                <w:color w:val="auto"/>
                <w:sz w:val="21"/>
                <w:szCs w:val="21"/>
              </w:rPr>
              <w:t>招标范围</w:t>
            </w:r>
          </w:p>
        </w:tc>
        <w:tc>
          <w:tcPr>
            <w:tcW w:w="978" w:type="dxa"/>
            <w:gridSpan w:val="2"/>
            <w:noWrap w:val="0"/>
            <w:vAlign w:val="center"/>
          </w:tcPr>
          <w:p>
            <w:pPr>
              <w:jc w:val="center"/>
              <w:rPr>
                <w:rFonts w:ascii="宋体" w:hAnsi="宋体"/>
                <w:color w:val="auto"/>
                <w:sz w:val="21"/>
                <w:szCs w:val="21"/>
              </w:rPr>
            </w:pPr>
            <w:r>
              <w:rPr>
                <w:rFonts w:ascii="宋体" w:hAnsi="宋体"/>
                <w:color w:val="auto"/>
                <w:sz w:val="21"/>
                <w:szCs w:val="21"/>
              </w:rPr>
              <w:t>招标形式</w:t>
            </w:r>
          </w:p>
        </w:tc>
        <w:tc>
          <w:tcPr>
            <w:tcW w:w="1199" w:type="dxa"/>
            <w:gridSpan w:val="2"/>
            <w:noWrap w:val="0"/>
            <w:vAlign w:val="center"/>
          </w:tcPr>
          <w:p>
            <w:pPr>
              <w:jc w:val="center"/>
              <w:rPr>
                <w:rFonts w:ascii="宋体" w:hAnsi="宋体"/>
                <w:color w:val="auto"/>
                <w:sz w:val="21"/>
                <w:szCs w:val="21"/>
              </w:rPr>
            </w:pPr>
            <w:r>
              <w:rPr>
                <w:rFonts w:ascii="宋体" w:hAnsi="宋体"/>
                <w:color w:val="auto"/>
                <w:sz w:val="21"/>
                <w:szCs w:val="21"/>
              </w:rPr>
              <w:t>招标方式</w:t>
            </w:r>
          </w:p>
        </w:tc>
        <w:tc>
          <w:tcPr>
            <w:tcW w:w="725" w:type="dxa"/>
            <w:vMerge w:val="restart"/>
            <w:noWrap w:val="0"/>
            <w:vAlign w:val="center"/>
          </w:tcPr>
          <w:p>
            <w:pPr>
              <w:jc w:val="center"/>
              <w:rPr>
                <w:rFonts w:ascii="宋体" w:hAnsi="宋体"/>
                <w:color w:val="auto"/>
                <w:sz w:val="21"/>
                <w:szCs w:val="21"/>
              </w:rPr>
            </w:pPr>
            <w:r>
              <w:rPr>
                <w:rFonts w:ascii="宋体" w:hAnsi="宋体"/>
                <w:color w:val="auto"/>
                <w:sz w:val="21"/>
                <w:szCs w:val="21"/>
              </w:rPr>
              <w:t>不采用招标</w:t>
            </w:r>
          </w:p>
          <w:p>
            <w:pPr>
              <w:jc w:val="center"/>
              <w:rPr>
                <w:rFonts w:ascii="宋体" w:hAnsi="宋体"/>
                <w:color w:val="auto"/>
                <w:sz w:val="21"/>
                <w:szCs w:val="21"/>
              </w:rPr>
            </w:pPr>
            <w:r>
              <w:rPr>
                <w:rFonts w:ascii="宋体" w:hAnsi="宋体"/>
                <w:color w:val="auto"/>
                <w:sz w:val="21"/>
                <w:szCs w:val="21"/>
              </w:rPr>
              <w:t>方式</w:t>
            </w:r>
          </w:p>
        </w:tc>
        <w:tc>
          <w:tcPr>
            <w:tcW w:w="1241" w:type="dxa"/>
            <w:vMerge w:val="restart"/>
            <w:noWrap w:val="0"/>
            <w:vAlign w:val="center"/>
          </w:tcPr>
          <w:p>
            <w:pPr>
              <w:jc w:val="center"/>
              <w:rPr>
                <w:rFonts w:ascii="宋体" w:hAnsi="宋体"/>
                <w:color w:val="auto"/>
                <w:sz w:val="21"/>
                <w:szCs w:val="21"/>
              </w:rPr>
            </w:pPr>
            <w:r>
              <w:rPr>
                <w:rFonts w:ascii="宋体" w:hAnsi="宋体"/>
                <w:color w:val="auto"/>
                <w:sz w:val="21"/>
                <w:szCs w:val="21"/>
              </w:rPr>
              <w:t>招标</w:t>
            </w:r>
            <w:r>
              <w:rPr>
                <w:rFonts w:hint="eastAsia" w:ascii="宋体" w:hAnsi="宋体"/>
                <w:color w:val="auto"/>
                <w:sz w:val="21"/>
                <w:szCs w:val="21"/>
              </w:rPr>
              <w:t>概</w:t>
            </w:r>
            <w:r>
              <w:rPr>
                <w:rFonts w:ascii="宋体" w:hAnsi="宋体"/>
                <w:color w:val="auto"/>
                <w:sz w:val="21"/>
                <w:szCs w:val="21"/>
              </w:rPr>
              <w:t>算金额（万元）</w:t>
            </w:r>
          </w:p>
        </w:tc>
        <w:tc>
          <w:tcPr>
            <w:tcW w:w="1281" w:type="dxa"/>
            <w:vMerge w:val="restart"/>
            <w:noWrap w:val="0"/>
            <w:vAlign w:val="center"/>
          </w:tcPr>
          <w:p>
            <w:pPr>
              <w:jc w:val="center"/>
              <w:rPr>
                <w:rFonts w:ascii="宋体" w:hAnsi="宋体"/>
                <w:color w:val="auto"/>
                <w:sz w:val="21"/>
                <w:szCs w:val="21"/>
              </w:rPr>
            </w:pPr>
            <w:r>
              <w:rPr>
                <w:rFonts w:ascii="宋体" w:hAnsi="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559" w:type="dxa"/>
            <w:vMerge w:val="continue"/>
            <w:noWrap w:val="0"/>
            <w:vAlign w:val="center"/>
          </w:tcPr>
          <w:p>
            <w:pPr>
              <w:jc w:val="center"/>
              <w:rPr>
                <w:rFonts w:ascii="宋体" w:hAnsi="宋体"/>
                <w:color w:val="auto"/>
                <w:sz w:val="21"/>
                <w:szCs w:val="21"/>
              </w:rPr>
            </w:pPr>
          </w:p>
        </w:tc>
        <w:tc>
          <w:tcPr>
            <w:tcW w:w="1109" w:type="dxa"/>
            <w:vMerge w:val="continue"/>
            <w:noWrap w:val="0"/>
            <w:vAlign w:val="center"/>
          </w:tcPr>
          <w:p>
            <w:pPr>
              <w:jc w:val="center"/>
              <w:rPr>
                <w:rFonts w:ascii="宋体" w:hAnsi="宋体"/>
                <w:color w:val="auto"/>
                <w:sz w:val="21"/>
                <w:szCs w:val="21"/>
              </w:rPr>
            </w:pPr>
          </w:p>
        </w:tc>
        <w:tc>
          <w:tcPr>
            <w:tcW w:w="630" w:type="dxa"/>
            <w:noWrap w:val="0"/>
            <w:vAlign w:val="center"/>
          </w:tcPr>
          <w:p>
            <w:pPr>
              <w:jc w:val="center"/>
              <w:rPr>
                <w:rFonts w:ascii="宋体" w:hAnsi="宋体"/>
                <w:color w:val="auto"/>
                <w:sz w:val="21"/>
                <w:szCs w:val="21"/>
              </w:rPr>
            </w:pPr>
            <w:r>
              <w:rPr>
                <w:rFonts w:ascii="宋体" w:hAnsi="宋体"/>
                <w:color w:val="auto"/>
                <w:sz w:val="21"/>
                <w:szCs w:val="21"/>
              </w:rPr>
              <w:t>全部</w:t>
            </w:r>
          </w:p>
          <w:p>
            <w:pPr>
              <w:jc w:val="center"/>
              <w:rPr>
                <w:rFonts w:ascii="宋体" w:hAnsi="宋体"/>
                <w:color w:val="auto"/>
                <w:sz w:val="21"/>
                <w:szCs w:val="21"/>
              </w:rPr>
            </w:pPr>
            <w:r>
              <w:rPr>
                <w:rFonts w:ascii="宋体" w:hAnsi="宋体"/>
                <w:color w:val="auto"/>
                <w:sz w:val="21"/>
                <w:szCs w:val="21"/>
              </w:rPr>
              <w:t>招标</w:t>
            </w:r>
          </w:p>
        </w:tc>
        <w:tc>
          <w:tcPr>
            <w:tcW w:w="594" w:type="dxa"/>
            <w:noWrap w:val="0"/>
            <w:vAlign w:val="center"/>
          </w:tcPr>
          <w:p>
            <w:pPr>
              <w:jc w:val="center"/>
              <w:rPr>
                <w:rFonts w:ascii="宋体" w:hAnsi="宋体"/>
                <w:color w:val="auto"/>
                <w:sz w:val="21"/>
                <w:szCs w:val="21"/>
              </w:rPr>
            </w:pPr>
            <w:r>
              <w:rPr>
                <w:rFonts w:ascii="宋体" w:hAnsi="宋体"/>
                <w:color w:val="auto"/>
                <w:sz w:val="21"/>
                <w:szCs w:val="21"/>
              </w:rPr>
              <w:t>部分</w:t>
            </w:r>
          </w:p>
          <w:p>
            <w:pPr>
              <w:jc w:val="center"/>
              <w:rPr>
                <w:rFonts w:ascii="宋体" w:hAnsi="宋体"/>
                <w:color w:val="auto"/>
                <w:sz w:val="21"/>
                <w:szCs w:val="21"/>
              </w:rPr>
            </w:pPr>
            <w:r>
              <w:rPr>
                <w:rFonts w:ascii="宋体" w:hAnsi="宋体"/>
                <w:color w:val="auto"/>
                <w:sz w:val="21"/>
                <w:szCs w:val="21"/>
              </w:rPr>
              <w:t>招标</w:t>
            </w:r>
          </w:p>
        </w:tc>
        <w:tc>
          <w:tcPr>
            <w:tcW w:w="489" w:type="dxa"/>
            <w:noWrap w:val="0"/>
            <w:vAlign w:val="center"/>
          </w:tcPr>
          <w:p>
            <w:pPr>
              <w:jc w:val="center"/>
              <w:rPr>
                <w:rFonts w:ascii="宋体" w:hAnsi="宋体"/>
                <w:color w:val="auto"/>
                <w:sz w:val="21"/>
                <w:szCs w:val="21"/>
              </w:rPr>
            </w:pPr>
            <w:r>
              <w:rPr>
                <w:rFonts w:ascii="宋体" w:hAnsi="宋体"/>
                <w:color w:val="auto"/>
                <w:sz w:val="21"/>
                <w:szCs w:val="21"/>
              </w:rPr>
              <w:t>自行</w:t>
            </w:r>
          </w:p>
          <w:p>
            <w:pPr>
              <w:jc w:val="center"/>
              <w:rPr>
                <w:rFonts w:ascii="宋体" w:hAnsi="宋体"/>
                <w:color w:val="auto"/>
                <w:sz w:val="21"/>
                <w:szCs w:val="21"/>
              </w:rPr>
            </w:pPr>
            <w:r>
              <w:rPr>
                <w:rFonts w:ascii="宋体" w:hAnsi="宋体"/>
                <w:color w:val="auto"/>
                <w:sz w:val="21"/>
                <w:szCs w:val="21"/>
              </w:rPr>
              <w:t>招标</w:t>
            </w:r>
          </w:p>
        </w:tc>
        <w:tc>
          <w:tcPr>
            <w:tcW w:w="489" w:type="dxa"/>
            <w:noWrap w:val="0"/>
            <w:vAlign w:val="center"/>
          </w:tcPr>
          <w:p>
            <w:pPr>
              <w:jc w:val="center"/>
              <w:rPr>
                <w:rFonts w:ascii="宋体" w:hAnsi="宋体"/>
                <w:color w:val="auto"/>
                <w:sz w:val="21"/>
                <w:szCs w:val="21"/>
              </w:rPr>
            </w:pPr>
            <w:r>
              <w:rPr>
                <w:rFonts w:ascii="宋体" w:hAnsi="宋体"/>
                <w:color w:val="auto"/>
                <w:sz w:val="21"/>
                <w:szCs w:val="21"/>
              </w:rPr>
              <w:t>委托</w:t>
            </w:r>
          </w:p>
          <w:p>
            <w:pPr>
              <w:jc w:val="center"/>
              <w:rPr>
                <w:rFonts w:ascii="宋体" w:hAnsi="宋体"/>
                <w:color w:val="auto"/>
                <w:sz w:val="21"/>
                <w:szCs w:val="21"/>
              </w:rPr>
            </w:pPr>
            <w:r>
              <w:rPr>
                <w:rFonts w:ascii="宋体" w:hAnsi="宋体"/>
                <w:color w:val="auto"/>
                <w:sz w:val="21"/>
                <w:szCs w:val="21"/>
              </w:rPr>
              <w:t>招标</w:t>
            </w:r>
          </w:p>
        </w:tc>
        <w:tc>
          <w:tcPr>
            <w:tcW w:w="565" w:type="dxa"/>
            <w:noWrap w:val="0"/>
            <w:vAlign w:val="center"/>
          </w:tcPr>
          <w:p>
            <w:pPr>
              <w:jc w:val="center"/>
              <w:rPr>
                <w:rFonts w:ascii="宋体" w:hAnsi="宋体"/>
                <w:color w:val="auto"/>
                <w:sz w:val="21"/>
                <w:szCs w:val="21"/>
              </w:rPr>
            </w:pPr>
            <w:r>
              <w:rPr>
                <w:rFonts w:ascii="宋体" w:hAnsi="宋体"/>
                <w:color w:val="auto"/>
                <w:sz w:val="21"/>
                <w:szCs w:val="21"/>
              </w:rPr>
              <w:t>公开</w:t>
            </w:r>
          </w:p>
          <w:p>
            <w:pPr>
              <w:jc w:val="center"/>
              <w:rPr>
                <w:rFonts w:ascii="宋体" w:hAnsi="宋体"/>
                <w:color w:val="auto"/>
                <w:sz w:val="21"/>
                <w:szCs w:val="21"/>
              </w:rPr>
            </w:pPr>
            <w:r>
              <w:rPr>
                <w:rFonts w:ascii="宋体" w:hAnsi="宋体"/>
                <w:color w:val="auto"/>
                <w:sz w:val="21"/>
                <w:szCs w:val="21"/>
              </w:rPr>
              <w:t>招标</w:t>
            </w:r>
          </w:p>
        </w:tc>
        <w:tc>
          <w:tcPr>
            <w:tcW w:w="634" w:type="dxa"/>
            <w:noWrap w:val="0"/>
            <w:vAlign w:val="center"/>
          </w:tcPr>
          <w:p>
            <w:pPr>
              <w:jc w:val="center"/>
              <w:rPr>
                <w:rFonts w:ascii="宋体" w:hAnsi="宋体"/>
                <w:color w:val="auto"/>
                <w:sz w:val="21"/>
                <w:szCs w:val="21"/>
              </w:rPr>
            </w:pPr>
            <w:r>
              <w:rPr>
                <w:rFonts w:ascii="宋体" w:hAnsi="宋体"/>
                <w:color w:val="auto"/>
                <w:sz w:val="21"/>
                <w:szCs w:val="21"/>
              </w:rPr>
              <w:t>邀请</w:t>
            </w:r>
          </w:p>
          <w:p>
            <w:pPr>
              <w:jc w:val="center"/>
              <w:rPr>
                <w:rFonts w:ascii="宋体" w:hAnsi="宋体"/>
                <w:color w:val="auto"/>
                <w:sz w:val="21"/>
                <w:szCs w:val="21"/>
              </w:rPr>
            </w:pPr>
            <w:r>
              <w:rPr>
                <w:rFonts w:ascii="宋体" w:hAnsi="宋体"/>
                <w:color w:val="auto"/>
                <w:sz w:val="21"/>
                <w:szCs w:val="21"/>
              </w:rPr>
              <w:t>招标</w:t>
            </w:r>
          </w:p>
        </w:tc>
        <w:tc>
          <w:tcPr>
            <w:tcW w:w="725" w:type="dxa"/>
            <w:vMerge w:val="continue"/>
            <w:noWrap w:val="0"/>
            <w:vAlign w:val="center"/>
          </w:tcPr>
          <w:p>
            <w:pPr>
              <w:jc w:val="center"/>
              <w:rPr>
                <w:rFonts w:ascii="宋体" w:hAnsi="宋体"/>
                <w:color w:val="auto"/>
                <w:sz w:val="21"/>
                <w:szCs w:val="21"/>
              </w:rPr>
            </w:pPr>
          </w:p>
        </w:tc>
        <w:tc>
          <w:tcPr>
            <w:tcW w:w="1241" w:type="dxa"/>
            <w:vMerge w:val="continue"/>
            <w:noWrap w:val="0"/>
            <w:vAlign w:val="center"/>
          </w:tcPr>
          <w:p>
            <w:pPr>
              <w:jc w:val="center"/>
              <w:rPr>
                <w:rFonts w:ascii="宋体" w:hAnsi="宋体"/>
                <w:color w:val="auto"/>
                <w:sz w:val="21"/>
                <w:szCs w:val="21"/>
              </w:rPr>
            </w:pPr>
          </w:p>
        </w:tc>
        <w:tc>
          <w:tcPr>
            <w:tcW w:w="1281" w:type="dxa"/>
            <w:vMerge w:val="continue"/>
            <w:noWrap w:val="0"/>
            <w:vAlign w:val="center"/>
          </w:tcPr>
          <w:p>
            <w:pPr>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59" w:type="dxa"/>
            <w:noWrap w:val="0"/>
            <w:vAlign w:val="center"/>
          </w:tcPr>
          <w:p>
            <w:pPr>
              <w:jc w:val="center"/>
              <w:rPr>
                <w:rFonts w:ascii="宋体" w:hAnsi="宋体"/>
                <w:color w:val="auto"/>
                <w:sz w:val="21"/>
                <w:szCs w:val="21"/>
              </w:rPr>
            </w:pPr>
            <w:r>
              <w:rPr>
                <w:rFonts w:ascii="宋体" w:hAnsi="宋体"/>
                <w:color w:val="auto"/>
                <w:sz w:val="21"/>
                <w:szCs w:val="21"/>
              </w:rPr>
              <w:t>1</w:t>
            </w:r>
          </w:p>
        </w:tc>
        <w:tc>
          <w:tcPr>
            <w:tcW w:w="1109" w:type="dxa"/>
            <w:noWrap w:val="0"/>
            <w:vAlign w:val="center"/>
          </w:tcPr>
          <w:p>
            <w:pPr>
              <w:jc w:val="center"/>
              <w:rPr>
                <w:rFonts w:ascii="宋体" w:hAnsi="宋体"/>
                <w:color w:val="auto"/>
                <w:sz w:val="21"/>
                <w:szCs w:val="21"/>
              </w:rPr>
            </w:pPr>
            <w:r>
              <w:rPr>
                <w:rFonts w:ascii="宋体" w:hAnsi="宋体"/>
                <w:color w:val="auto"/>
                <w:sz w:val="21"/>
                <w:szCs w:val="21"/>
              </w:rPr>
              <w:t>勘察</w:t>
            </w:r>
          </w:p>
        </w:tc>
        <w:tc>
          <w:tcPr>
            <w:tcW w:w="630" w:type="dxa"/>
            <w:noWrap w:val="0"/>
            <w:vAlign w:val="center"/>
          </w:tcPr>
          <w:p>
            <w:pPr>
              <w:jc w:val="center"/>
              <w:rPr>
                <w:rFonts w:ascii="宋体" w:hAnsi="宋体"/>
                <w:color w:val="auto"/>
                <w:sz w:val="21"/>
                <w:szCs w:val="21"/>
              </w:rPr>
            </w:pPr>
          </w:p>
        </w:tc>
        <w:tc>
          <w:tcPr>
            <w:tcW w:w="594" w:type="dxa"/>
            <w:noWrap w:val="0"/>
            <w:vAlign w:val="center"/>
          </w:tcPr>
          <w:p>
            <w:pPr>
              <w:jc w:val="center"/>
              <w:rPr>
                <w:rFonts w:ascii="宋体" w:hAnsi="宋体"/>
                <w:color w:val="auto"/>
                <w:sz w:val="21"/>
                <w:szCs w:val="21"/>
              </w:rPr>
            </w:pPr>
          </w:p>
        </w:tc>
        <w:tc>
          <w:tcPr>
            <w:tcW w:w="489" w:type="dxa"/>
            <w:noWrap w:val="0"/>
            <w:vAlign w:val="center"/>
          </w:tcPr>
          <w:p>
            <w:pPr>
              <w:jc w:val="center"/>
              <w:rPr>
                <w:rFonts w:ascii="宋体" w:hAnsi="宋体"/>
                <w:color w:val="auto"/>
                <w:sz w:val="21"/>
                <w:szCs w:val="21"/>
              </w:rPr>
            </w:pPr>
          </w:p>
        </w:tc>
        <w:tc>
          <w:tcPr>
            <w:tcW w:w="489" w:type="dxa"/>
            <w:noWrap w:val="0"/>
            <w:vAlign w:val="center"/>
          </w:tcPr>
          <w:p>
            <w:pPr>
              <w:jc w:val="center"/>
              <w:rPr>
                <w:rFonts w:ascii="宋体" w:hAnsi="宋体"/>
                <w:color w:val="auto"/>
                <w:sz w:val="21"/>
                <w:szCs w:val="21"/>
              </w:rPr>
            </w:pPr>
          </w:p>
        </w:tc>
        <w:tc>
          <w:tcPr>
            <w:tcW w:w="565" w:type="dxa"/>
            <w:noWrap w:val="0"/>
            <w:vAlign w:val="center"/>
          </w:tcPr>
          <w:p>
            <w:pPr>
              <w:jc w:val="center"/>
              <w:rPr>
                <w:rFonts w:ascii="宋体" w:hAnsi="宋体"/>
                <w:color w:val="auto"/>
                <w:sz w:val="21"/>
                <w:szCs w:val="21"/>
              </w:rPr>
            </w:pPr>
          </w:p>
        </w:tc>
        <w:tc>
          <w:tcPr>
            <w:tcW w:w="634" w:type="dxa"/>
            <w:noWrap w:val="0"/>
            <w:vAlign w:val="center"/>
          </w:tcPr>
          <w:p>
            <w:pPr>
              <w:jc w:val="center"/>
              <w:rPr>
                <w:rFonts w:ascii="宋体" w:hAnsi="宋体"/>
                <w:color w:val="auto"/>
                <w:sz w:val="21"/>
                <w:szCs w:val="21"/>
              </w:rPr>
            </w:pPr>
          </w:p>
        </w:tc>
        <w:tc>
          <w:tcPr>
            <w:tcW w:w="725" w:type="dxa"/>
            <w:noWrap w:val="0"/>
            <w:vAlign w:val="center"/>
          </w:tcPr>
          <w:p>
            <w:pPr>
              <w:jc w:val="center"/>
              <w:rPr>
                <w:rFonts w:hint="eastAsia" w:ascii="宋体" w:hAnsi="宋体"/>
                <w:color w:val="auto"/>
                <w:sz w:val="21"/>
                <w:szCs w:val="21"/>
              </w:rPr>
            </w:pPr>
            <w:r>
              <w:rPr>
                <w:rFonts w:ascii="宋体" w:hAnsi="宋体"/>
                <w:color w:val="auto"/>
                <w:sz w:val="21"/>
                <w:szCs w:val="21"/>
              </w:rPr>
              <w:t>√</w:t>
            </w:r>
          </w:p>
        </w:tc>
        <w:tc>
          <w:tcPr>
            <w:tcW w:w="1241" w:type="dxa"/>
            <w:noWrap w:val="0"/>
            <w:vAlign w:val="center"/>
          </w:tcPr>
          <w:p>
            <w:pPr>
              <w:jc w:val="center"/>
              <w:rPr>
                <w:rFonts w:hint="default" w:ascii="宋体" w:hAnsi="宋体" w:eastAsia="宋体"/>
                <w:color w:val="auto"/>
                <w:sz w:val="21"/>
                <w:szCs w:val="21"/>
                <w:lang w:val="en-US" w:eastAsia="zh-CN"/>
              </w:rPr>
            </w:pPr>
          </w:p>
        </w:tc>
        <w:tc>
          <w:tcPr>
            <w:tcW w:w="1281" w:type="dxa"/>
            <w:noWrap w:val="0"/>
            <w:vAlign w:val="center"/>
          </w:tcPr>
          <w:p>
            <w:pPr>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59" w:type="dxa"/>
            <w:noWrap w:val="0"/>
            <w:vAlign w:val="center"/>
          </w:tcPr>
          <w:p>
            <w:pPr>
              <w:jc w:val="center"/>
              <w:rPr>
                <w:rFonts w:ascii="宋体" w:hAnsi="宋体"/>
                <w:color w:val="auto"/>
                <w:sz w:val="21"/>
                <w:szCs w:val="21"/>
              </w:rPr>
            </w:pPr>
            <w:r>
              <w:rPr>
                <w:rFonts w:ascii="宋体" w:hAnsi="宋体"/>
                <w:color w:val="auto"/>
                <w:sz w:val="21"/>
                <w:szCs w:val="21"/>
              </w:rPr>
              <w:t>2</w:t>
            </w:r>
          </w:p>
        </w:tc>
        <w:tc>
          <w:tcPr>
            <w:tcW w:w="1109" w:type="dxa"/>
            <w:noWrap w:val="0"/>
            <w:vAlign w:val="center"/>
          </w:tcPr>
          <w:p>
            <w:pPr>
              <w:jc w:val="center"/>
              <w:rPr>
                <w:rFonts w:ascii="宋体" w:hAnsi="宋体"/>
                <w:color w:val="auto"/>
                <w:sz w:val="21"/>
                <w:szCs w:val="21"/>
              </w:rPr>
            </w:pPr>
            <w:r>
              <w:rPr>
                <w:rFonts w:ascii="宋体" w:hAnsi="宋体"/>
                <w:color w:val="auto"/>
                <w:sz w:val="21"/>
                <w:szCs w:val="21"/>
              </w:rPr>
              <w:t>设计</w:t>
            </w:r>
          </w:p>
        </w:tc>
        <w:tc>
          <w:tcPr>
            <w:tcW w:w="630" w:type="dxa"/>
            <w:noWrap w:val="0"/>
            <w:vAlign w:val="center"/>
          </w:tcPr>
          <w:p>
            <w:pPr>
              <w:jc w:val="center"/>
              <w:rPr>
                <w:rFonts w:hint="eastAsia" w:ascii="宋体" w:hAnsi="宋体"/>
                <w:color w:val="auto"/>
                <w:sz w:val="21"/>
                <w:szCs w:val="21"/>
              </w:rPr>
            </w:pPr>
          </w:p>
        </w:tc>
        <w:tc>
          <w:tcPr>
            <w:tcW w:w="594" w:type="dxa"/>
            <w:noWrap w:val="0"/>
            <w:vAlign w:val="center"/>
          </w:tcPr>
          <w:p>
            <w:pPr>
              <w:jc w:val="center"/>
              <w:rPr>
                <w:rFonts w:ascii="宋体" w:hAnsi="宋体"/>
                <w:color w:val="auto"/>
                <w:sz w:val="21"/>
                <w:szCs w:val="21"/>
              </w:rPr>
            </w:pPr>
          </w:p>
        </w:tc>
        <w:tc>
          <w:tcPr>
            <w:tcW w:w="489" w:type="dxa"/>
            <w:noWrap w:val="0"/>
            <w:vAlign w:val="center"/>
          </w:tcPr>
          <w:p>
            <w:pPr>
              <w:jc w:val="center"/>
              <w:rPr>
                <w:rFonts w:ascii="宋体" w:hAnsi="宋体"/>
                <w:color w:val="auto"/>
                <w:sz w:val="21"/>
                <w:szCs w:val="21"/>
              </w:rPr>
            </w:pPr>
          </w:p>
        </w:tc>
        <w:tc>
          <w:tcPr>
            <w:tcW w:w="489" w:type="dxa"/>
            <w:noWrap w:val="0"/>
            <w:vAlign w:val="center"/>
          </w:tcPr>
          <w:p>
            <w:pPr>
              <w:jc w:val="center"/>
              <w:rPr>
                <w:rFonts w:hint="eastAsia" w:ascii="宋体" w:hAnsi="宋体"/>
                <w:color w:val="auto"/>
                <w:sz w:val="21"/>
                <w:szCs w:val="21"/>
              </w:rPr>
            </w:pPr>
          </w:p>
        </w:tc>
        <w:tc>
          <w:tcPr>
            <w:tcW w:w="565" w:type="dxa"/>
            <w:noWrap w:val="0"/>
            <w:vAlign w:val="center"/>
          </w:tcPr>
          <w:p>
            <w:pPr>
              <w:jc w:val="center"/>
              <w:rPr>
                <w:rFonts w:ascii="宋体" w:hAnsi="宋体"/>
                <w:color w:val="auto"/>
                <w:sz w:val="21"/>
                <w:szCs w:val="21"/>
              </w:rPr>
            </w:pPr>
          </w:p>
        </w:tc>
        <w:tc>
          <w:tcPr>
            <w:tcW w:w="634" w:type="dxa"/>
            <w:noWrap w:val="0"/>
            <w:vAlign w:val="center"/>
          </w:tcPr>
          <w:p>
            <w:pPr>
              <w:jc w:val="center"/>
              <w:rPr>
                <w:rFonts w:ascii="宋体" w:hAnsi="宋体"/>
                <w:color w:val="auto"/>
                <w:sz w:val="21"/>
                <w:szCs w:val="21"/>
              </w:rPr>
            </w:pPr>
          </w:p>
        </w:tc>
        <w:tc>
          <w:tcPr>
            <w:tcW w:w="725" w:type="dxa"/>
            <w:noWrap w:val="0"/>
            <w:vAlign w:val="center"/>
          </w:tcPr>
          <w:p>
            <w:pPr>
              <w:jc w:val="center"/>
              <w:rPr>
                <w:rFonts w:hint="eastAsia" w:ascii="宋体" w:hAnsi="宋体"/>
                <w:color w:val="auto"/>
                <w:sz w:val="21"/>
                <w:szCs w:val="21"/>
              </w:rPr>
            </w:pPr>
            <w:r>
              <w:rPr>
                <w:rFonts w:ascii="宋体" w:hAnsi="宋体"/>
                <w:color w:val="auto"/>
                <w:sz w:val="21"/>
                <w:szCs w:val="21"/>
              </w:rPr>
              <w:t>√</w:t>
            </w:r>
          </w:p>
        </w:tc>
        <w:tc>
          <w:tcPr>
            <w:tcW w:w="1241" w:type="dxa"/>
            <w:noWrap w:val="0"/>
            <w:vAlign w:val="center"/>
          </w:tcPr>
          <w:p>
            <w:pPr>
              <w:jc w:val="both"/>
              <w:rPr>
                <w:rFonts w:hint="default" w:ascii="宋体" w:hAnsi="宋体" w:eastAsia="宋体"/>
                <w:color w:val="auto"/>
                <w:sz w:val="21"/>
                <w:szCs w:val="21"/>
                <w:lang w:val="en-US" w:eastAsia="zh-CN"/>
              </w:rPr>
            </w:pPr>
          </w:p>
        </w:tc>
        <w:tc>
          <w:tcPr>
            <w:tcW w:w="1281" w:type="dxa"/>
            <w:noWrap w:val="0"/>
            <w:vAlign w:val="center"/>
          </w:tcPr>
          <w:p>
            <w:pPr>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59" w:type="dxa"/>
            <w:noWrap w:val="0"/>
            <w:vAlign w:val="center"/>
          </w:tcPr>
          <w:p>
            <w:pPr>
              <w:jc w:val="center"/>
              <w:rPr>
                <w:rFonts w:ascii="宋体" w:hAnsi="宋体"/>
                <w:color w:val="auto"/>
                <w:sz w:val="21"/>
                <w:szCs w:val="21"/>
              </w:rPr>
            </w:pPr>
            <w:r>
              <w:rPr>
                <w:rFonts w:ascii="宋体" w:hAnsi="宋体"/>
                <w:color w:val="auto"/>
                <w:sz w:val="21"/>
                <w:szCs w:val="21"/>
              </w:rPr>
              <w:t>3</w:t>
            </w:r>
          </w:p>
        </w:tc>
        <w:tc>
          <w:tcPr>
            <w:tcW w:w="1109" w:type="dxa"/>
            <w:noWrap w:val="0"/>
            <w:vAlign w:val="center"/>
          </w:tcPr>
          <w:p>
            <w:pPr>
              <w:jc w:val="center"/>
              <w:rPr>
                <w:rFonts w:ascii="宋体" w:hAnsi="宋体"/>
                <w:color w:val="auto"/>
                <w:sz w:val="21"/>
                <w:szCs w:val="21"/>
              </w:rPr>
            </w:pPr>
            <w:r>
              <w:rPr>
                <w:rFonts w:ascii="宋体" w:hAnsi="宋体"/>
                <w:color w:val="auto"/>
                <w:sz w:val="21"/>
                <w:szCs w:val="21"/>
              </w:rPr>
              <w:t>建</w:t>
            </w:r>
            <w:r>
              <w:rPr>
                <w:rFonts w:hint="eastAsia" w:ascii="宋体" w:hAnsi="宋体"/>
                <w:color w:val="auto"/>
                <w:sz w:val="21"/>
                <w:szCs w:val="21"/>
                <w:lang w:eastAsia="zh-CN"/>
              </w:rPr>
              <w:t>安</w:t>
            </w:r>
            <w:r>
              <w:rPr>
                <w:rFonts w:ascii="宋体" w:hAnsi="宋体"/>
                <w:color w:val="auto"/>
                <w:sz w:val="21"/>
                <w:szCs w:val="21"/>
              </w:rPr>
              <w:t>工程</w:t>
            </w:r>
          </w:p>
        </w:tc>
        <w:tc>
          <w:tcPr>
            <w:tcW w:w="630" w:type="dxa"/>
            <w:noWrap w:val="0"/>
            <w:vAlign w:val="center"/>
          </w:tcPr>
          <w:p>
            <w:pPr>
              <w:jc w:val="center"/>
              <w:rPr>
                <w:rFonts w:ascii="宋体" w:hAnsi="宋体"/>
                <w:color w:val="auto"/>
                <w:sz w:val="21"/>
                <w:szCs w:val="21"/>
              </w:rPr>
            </w:pPr>
            <w:r>
              <w:rPr>
                <w:rFonts w:ascii="宋体" w:hAnsi="宋体"/>
                <w:color w:val="auto"/>
                <w:sz w:val="21"/>
                <w:szCs w:val="21"/>
              </w:rPr>
              <w:t>√</w:t>
            </w:r>
          </w:p>
        </w:tc>
        <w:tc>
          <w:tcPr>
            <w:tcW w:w="594" w:type="dxa"/>
            <w:noWrap w:val="0"/>
            <w:vAlign w:val="center"/>
          </w:tcPr>
          <w:p>
            <w:pPr>
              <w:jc w:val="center"/>
              <w:rPr>
                <w:rFonts w:ascii="宋体" w:hAnsi="宋体"/>
                <w:color w:val="auto"/>
                <w:sz w:val="21"/>
                <w:szCs w:val="21"/>
              </w:rPr>
            </w:pPr>
          </w:p>
        </w:tc>
        <w:tc>
          <w:tcPr>
            <w:tcW w:w="489" w:type="dxa"/>
            <w:noWrap w:val="0"/>
            <w:vAlign w:val="center"/>
          </w:tcPr>
          <w:p>
            <w:pPr>
              <w:jc w:val="center"/>
              <w:rPr>
                <w:rFonts w:ascii="宋体" w:hAnsi="宋体"/>
                <w:color w:val="auto"/>
                <w:sz w:val="21"/>
                <w:szCs w:val="21"/>
              </w:rPr>
            </w:pPr>
          </w:p>
        </w:tc>
        <w:tc>
          <w:tcPr>
            <w:tcW w:w="489" w:type="dxa"/>
            <w:noWrap w:val="0"/>
            <w:vAlign w:val="center"/>
          </w:tcPr>
          <w:p>
            <w:pPr>
              <w:jc w:val="center"/>
              <w:rPr>
                <w:rFonts w:hint="eastAsia" w:ascii="宋体" w:hAnsi="宋体"/>
                <w:color w:val="auto"/>
                <w:sz w:val="21"/>
                <w:szCs w:val="21"/>
              </w:rPr>
            </w:pPr>
            <w:r>
              <w:rPr>
                <w:rFonts w:ascii="宋体" w:hAnsi="宋体"/>
                <w:color w:val="auto"/>
                <w:sz w:val="21"/>
                <w:szCs w:val="21"/>
              </w:rPr>
              <w:t>√</w:t>
            </w:r>
          </w:p>
        </w:tc>
        <w:tc>
          <w:tcPr>
            <w:tcW w:w="565" w:type="dxa"/>
            <w:noWrap w:val="0"/>
            <w:vAlign w:val="center"/>
          </w:tcPr>
          <w:p>
            <w:pPr>
              <w:jc w:val="center"/>
              <w:rPr>
                <w:rFonts w:hint="eastAsia" w:ascii="宋体" w:hAnsi="宋体"/>
                <w:color w:val="auto"/>
                <w:sz w:val="21"/>
                <w:szCs w:val="21"/>
              </w:rPr>
            </w:pPr>
            <w:r>
              <w:rPr>
                <w:rFonts w:ascii="宋体" w:hAnsi="宋体"/>
                <w:color w:val="auto"/>
                <w:sz w:val="21"/>
                <w:szCs w:val="21"/>
              </w:rPr>
              <w:t>√</w:t>
            </w:r>
          </w:p>
        </w:tc>
        <w:tc>
          <w:tcPr>
            <w:tcW w:w="634" w:type="dxa"/>
            <w:noWrap w:val="0"/>
            <w:vAlign w:val="center"/>
          </w:tcPr>
          <w:p>
            <w:pPr>
              <w:jc w:val="center"/>
              <w:rPr>
                <w:rFonts w:ascii="宋体" w:hAnsi="宋体"/>
                <w:color w:val="auto"/>
                <w:sz w:val="21"/>
                <w:szCs w:val="21"/>
              </w:rPr>
            </w:pPr>
          </w:p>
        </w:tc>
        <w:tc>
          <w:tcPr>
            <w:tcW w:w="725" w:type="dxa"/>
            <w:noWrap w:val="0"/>
            <w:vAlign w:val="center"/>
          </w:tcPr>
          <w:p>
            <w:pPr>
              <w:jc w:val="center"/>
              <w:rPr>
                <w:rFonts w:ascii="宋体" w:hAnsi="宋体"/>
                <w:color w:val="auto"/>
                <w:sz w:val="21"/>
                <w:szCs w:val="21"/>
              </w:rPr>
            </w:pPr>
          </w:p>
        </w:tc>
        <w:tc>
          <w:tcPr>
            <w:tcW w:w="1241" w:type="dxa"/>
            <w:noWrap w:val="0"/>
            <w:vAlign w:val="center"/>
          </w:tcPr>
          <w:p>
            <w:pPr>
              <w:jc w:val="center"/>
              <w:rPr>
                <w:rFonts w:hint="default" w:ascii="宋体" w:hAnsi="宋体" w:eastAsia="宋体"/>
                <w:color w:val="auto"/>
                <w:sz w:val="21"/>
                <w:szCs w:val="21"/>
                <w:lang w:val="en-US" w:eastAsia="zh-CN"/>
              </w:rPr>
            </w:pPr>
          </w:p>
        </w:tc>
        <w:tc>
          <w:tcPr>
            <w:tcW w:w="1281" w:type="dxa"/>
            <w:noWrap w:val="0"/>
            <w:vAlign w:val="center"/>
          </w:tcPr>
          <w:p>
            <w:pPr>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59" w:type="dxa"/>
            <w:noWrap w:val="0"/>
            <w:vAlign w:val="center"/>
          </w:tcPr>
          <w:p>
            <w:pPr>
              <w:jc w:val="center"/>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4</w:t>
            </w:r>
          </w:p>
        </w:tc>
        <w:tc>
          <w:tcPr>
            <w:tcW w:w="1109" w:type="dxa"/>
            <w:noWrap w:val="0"/>
            <w:vAlign w:val="center"/>
          </w:tcPr>
          <w:p>
            <w:pPr>
              <w:jc w:val="center"/>
              <w:rPr>
                <w:rFonts w:hint="eastAsia" w:ascii="宋体" w:hAnsi="宋体" w:eastAsia="宋体"/>
                <w:color w:val="auto"/>
                <w:sz w:val="21"/>
                <w:szCs w:val="21"/>
                <w:lang w:eastAsia="zh-CN"/>
              </w:rPr>
            </w:pPr>
            <w:r>
              <w:rPr>
                <w:rFonts w:hint="eastAsia" w:ascii="宋体" w:hAnsi="宋体"/>
                <w:color w:val="auto"/>
                <w:sz w:val="21"/>
                <w:szCs w:val="21"/>
                <w:lang w:eastAsia="zh-CN"/>
              </w:rPr>
              <w:t>设备购置</w:t>
            </w:r>
          </w:p>
        </w:tc>
        <w:tc>
          <w:tcPr>
            <w:tcW w:w="630" w:type="dxa"/>
            <w:noWrap w:val="0"/>
            <w:vAlign w:val="center"/>
          </w:tcPr>
          <w:p>
            <w:pPr>
              <w:jc w:val="center"/>
              <w:rPr>
                <w:rFonts w:hint="eastAsia" w:ascii="宋体" w:hAnsi="宋体"/>
                <w:color w:val="auto"/>
                <w:sz w:val="21"/>
                <w:szCs w:val="21"/>
              </w:rPr>
            </w:pPr>
          </w:p>
        </w:tc>
        <w:tc>
          <w:tcPr>
            <w:tcW w:w="594" w:type="dxa"/>
            <w:noWrap w:val="0"/>
            <w:vAlign w:val="center"/>
          </w:tcPr>
          <w:p>
            <w:pPr>
              <w:jc w:val="center"/>
              <w:rPr>
                <w:rFonts w:ascii="宋体" w:hAnsi="宋体"/>
                <w:color w:val="auto"/>
                <w:sz w:val="21"/>
                <w:szCs w:val="21"/>
              </w:rPr>
            </w:pPr>
          </w:p>
        </w:tc>
        <w:tc>
          <w:tcPr>
            <w:tcW w:w="489" w:type="dxa"/>
            <w:noWrap w:val="0"/>
            <w:vAlign w:val="center"/>
          </w:tcPr>
          <w:p>
            <w:pPr>
              <w:jc w:val="center"/>
              <w:rPr>
                <w:rFonts w:ascii="宋体" w:hAnsi="宋体"/>
                <w:color w:val="auto"/>
                <w:sz w:val="21"/>
                <w:szCs w:val="21"/>
              </w:rPr>
            </w:pPr>
          </w:p>
        </w:tc>
        <w:tc>
          <w:tcPr>
            <w:tcW w:w="489" w:type="dxa"/>
            <w:noWrap w:val="0"/>
            <w:vAlign w:val="center"/>
          </w:tcPr>
          <w:p>
            <w:pPr>
              <w:jc w:val="center"/>
              <w:rPr>
                <w:rFonts w:hint="eastAsia" w:ascii="宋体" w:hAnsi="宋体"/>
                <w:color w:val="auto"/>
                <w:sz w:val="21"/>
                <w:szCs w:val="21"/>
              </w:rPr>
            </w:pPr>
          </w:p>
        </w:tc>
        <w:tc>
          <w:tcPr>
            <w:tcW w:w="565" w:type="dxa"/>
            <w:noWrap w:val="0"/>
            <w:vAlign w:val="center"/>
          </w:tcPr>
          <w:p>
            <w:pPr>
              <w:jc w:val="center"/>
              <w:rPr>
                <w:rFonts w:ascii="宋体" w:hAnsi="宋体"/>
                <w:color w:val="auto"/>
                <w:sz w:val="21"/>
                <w:szCs w:val="21"/>
              </w:rPr>
            </w:pPr>
          </w:p>
        </w:tc>
        <w:tc>
          <w:tcPr>
            <w:tcW w:w="634" w:type="dxa"/>
            <w:noWrap w:val="0"/>
            <w:vAlign w:val="center"/>
          </w:tcPr>
          <w:p>
            <w:pPr>
              <w:jc w:val="center"/>
              <w:rPr>
                <w:rFonts w:ascii="宋体" w:hAnsi="宋体"/>
                <w:color w:val="auto"/>
                <w:sz w:val="21"/>
                <w:szCs w:val="21"/>
              </w:rPr>
            </w:pPr>
          </w:p>
        </w:tc>
        <w:tc>
          <w:tcPr>
            <w:tcW w:w="725" w:type="dxa"/>
            <w:noWrap w:val="0"/>
            <w:vAlign w:val="center"/>
          </w:tcPr>
          <w:p>
            <w:pPr>
              <w:jc w:val="center"/>
              <w:rPr>
                <w:rFonts w:hint="eastAsia" w:ascii="宋体" w:hAnsi="宋体"/>
                <w:color w:val="auto"/>
                <w:sz w:val="21"/>
                <w:szCs w:val="21"/>
              </w:rPr>
            </w:pPr>
          </w:p>
        </w:tc>
        <w:tc>
          <w:tcPr>
            <w:tcW w:w="1241" w:type="dxa"/>
            <w:noWrap w:val="0"/>
            <w:vAlign w:val="center"/>
          </w:tcPr>
          <w:p>
            <w:pPr>
              <w:jc w:val="center"/>
              <w:rPr>
                <w:rFonts w:hint="default" w:ascii="宋体" w:hAnsi="宋体" w:eastAsia="宋体"/>
                <w:color w:val="auto"/>
                <w:sz w:val="21"/>
                <w:szCs w:val="21"/>
                <w:lang w:val="en-US" w:eastAsia="zh-CN"/>
              </w:rPr>
            </w:pPr>
          </w:p>
        </w:tc>
        <w:tc>
          <w:tcPr>
            <w:tcW w:w="1281" w:type="dxa"/>
            <w:noWrap w:val="0"/>
            <w:vAlign w:val="center"/>
          </w:tcPr>
          <w:p>
            <w:pPr>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59" w:type="dxa"/>
            <w:noWrap w:val="0"/>
            <w:vAlign w:val="center"/>
          </w:tcPr>
          <w:p>
            <w:pPr>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5</w:t>
            </w:r>
          </w:p>
        </w:tc>
        <w:tc>
          <w:tcPr>
            <w:tcW w:w="1109" w:type="dxa"/>
            <w:noWrap w:val="0"/>
            <w:vAlign w:val="center"/>
          </w:tcPr>
          <w:p>
            <w:pPr>
              <w:jc w:val="center"/>
              <w:rPr>
                <w:rFonts w:ascii="宋体" w:hAnsi="宋体"/>
                <w:color w:val="auto"/>
                <w:sz w:val="21"/>
                <w:szCs w:val="21"/>
              </w:rPr>
            </w:pPr>
            <w:r>
              <w:rPr>
                <w:rFonts w:ascii="宋体" w:hAnsi="宋体"/>
                <w:color w:val="auto"/>
                <w:sz w:val="21"/>
                <w:szCs w:val="21"/>
              </w:rPr>
              <w:t>监理</w:t>
            </w:r>
          </w:p>
        </w:tc>
        <w:tc>
          <w:tcPr>
            <w:tcW w:w="630" w:type="dxa"/>
            <w:noWrap w:val="0"/>
            <w:vAlign w:val="center"/>
          </w:tcPr>
          <w:p>
            <w:pPr>
              <w:jc w:val="center"/>
              <w:rPr>
                <w:rFonts w:ascii="宋体" w:hAnsi="宋体"/>
                <w:color w:val="auto"/>
                <w:sz w:val="21"/>
                <w:szCs w:val="21"/>
              </w:rPr>
            </w:pPr>
          </w:p>
        </w:tc>
        <w:tc>
          <w:tcPr>
            <w:tcW w:w="594" w:type="dxa"/>
            <w:noWrap w:val="0"/>
            <w:vAlign w:val="center"/>
          </w:tcPr>
          <w:p>
            <w:pPr>
              <w:jc w:val="center"/>
              <w:rPr>
                <w:rFonts w:ascii="宋体" w:hAnsi="宋体"/>
                <w:color w:val="auto"/>
                <w:sz w:val="21"/>
                <w:szCs w:val="21"/>
              </w:rPr>
            </w:pPr>
          </w:p>
        </w:tc>
        <w:tc>
          <w:tcPr>
            <w:tcW w:w="489" w:type="dxa"/>
            <w:noWrap w:val="0"/>
            <w:vAlign w:val="center"/>
          </w:tcPr>
          <w:p>
            <w:pPr>
              <w:jc w:val="center"/>
              <w:rPr>
                <w:rFonts w:ascii="宋体" w:hAnsi="宋体"/>
                <w:color w:val="auto"/>
                <w:sz w:val="21"/>
                <w:szCs w:val="21"/>
              </w:rPr>
            </w:pPr>
          </w:p>
        </w:tc>
        <w:tc>
          <w:tcPr>
            <w:tcW w:w="489" w:type="dxa"/>
            <w:noWrap w:val="0"/>
            <w:vAlign w:val="center"/>
          </w:tcPr>
          <w:p>
            <w:pPr>
              <w:jc w:val="center"/>
              <w:rPr>
                <w:rFonts w:ascii="宋体" w:hAnsi="宋体"/>
                <w:color w:val="auto"/>
                <w:sz w:val="21"/>
                <w:szCs w:val="21"/>
              </w:rPr>
            </w:pPr>
          </w:p>
        </w:tc>
        <w:tc>
          <w:tcPr>
            <w:tcW w:w="565" w:type="dxa"/>
            <w:noWrap w:val="0"/>
            <w:vAlign w:val="center"/>
          </w:tcPr>
          <w:p>
            <w:pPr>
              <w:jc w:val="center"/>
              <w:rPr>
                <w:rFonts w:ascii="宋体" w:hAnsi="宋体"/>
                <w:color w:val="auto"/>
                <w:sz w:val="21"/>
                <w:szCs w:val="21"/>
              </w:rPr>
            </w:pPr>
          </w:p>
        </w:tc>
        <w:tc>
          <w:tcPr>
            <w:tcW w:w="634" w:type="dxa"/>
            <w:noWrap w:val="0"/>
            <w:vAlign w:val="center"/>
          </w:tcPr>
          <w:p>
            <w:pPr>
              <w:jc w:val="center"/>
              <w:rPr>
                <w:rFonts w:ascii="宋体" w:hAnsi="宋体"/>
                <w:color w:val="auto"/>
                <w:sz w:val="21"/>
                <w:szCs w:val="21"/>
              </w:rPr>
            </w:pPr>
          </w:p>
        </w:tc>
        <w:tc>
          <w:tcPr>
            <w:tcW w:w="725" w:type="dxa"/>
            <w:noWrap w:val="0"/>
            <w:vAlign w:val="center"/>
          </w:tcPr>
          <w:p>
            <w:pPr>
              <w:jc w:val="center"/>
              <w:rPr>
                <w:rFonts w:ascii="宋体" w:hAnsi="宋体"/>
                <w:color w:val="auto"/>
                <w:sz w:val="21"/>
                <w:szCs w:val="21"/>
              </w:rPr>
            </w:pPr>
            <w:r>
              <w:rPr>
                <w:rFonts w:ascii="宋体" w:hAnsi="宋体"/>
                <w:color w:val="auto"/>
                <w:sz w:val="21"/>
                <w:szCs w:val="21"/>
              </w:rPr>
              <w:t>√</w:t>
            </w:r>
          </w:p>
        </w:tc>
        <w:tc>
          <w:tcPr>
            <w:tcW w:w="1241" w:type="dxa"/>
            <w:noWrap w:val="0"/>
            <w:vAlign w:val="center"/>
          </w:tcPr>
          <w:p>
            <w:pPr>
              <w:jc w:val="center"/>
              <w:rPr>
                <w:rFonts w:hint="default" w:ascii="宋体" w:hAnsi="宋体" w:eastAsia="宋体"/>
                <w:color w:val="auto"/>
                <w:sz w:val="21"/>
                <w:szCs w:val="21"/>
                <w:lang w:val="en-US" w:eastAsia="zh-CN"/>
              </w:rPr>
            </w:pPr>
          </w:p>
        </w:tc>
        <w:tc>
          <w:tcPr>
            <w:tcW w:w="1281" w:type="dxa"/>
            <w:noWrap w:val="0"/>
            <w:vAlign w:val="center"/>
          </w:tcPr>
          <w:p>
            <w:pPr>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559" w:type="dxa"/>
            <w:noWrap w:val="0"/>
            <w:vAlign w:val="center"/>
          </w:tcPr>
          <w:p>
            <w:pPr>
              <w:jc w:val="center"/>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6</w:t>
            </w:r>
          </w:p>
        </w:tc>
        <w:tc>
          <w:tcPr>
            <w:tcW w:w="1109" w:type="dxa"/>
            <w:noWrap w:val="0"/>
            <w:vAlign w:val="center"/>
          </w:tcPr>
          <w:p>
            <w:pPr>
              <w:jc w:val="center"/>
              <w:rPr>
                <w:rFonts w:ascii="宋体" w:hAnsi="宋体"/>
                <w:color w:val="auto"/>
                <w:sz w:val="21"/>
                <w:szCs w:val="21"/>
              </w:rPr>
            </w:pPr>
            <w:r>
              <w:rPr>
                <w:rFonts w:hint="eastAsia" w:ascii="宋体" w:hAnsi="宋体"/>
                <w:color w:val="auto"/>
                <w:sz w:val="21"/>
                <w:szCs w:val="21"/>
                <w:lang w:eastAsia="zh-CN"/>
              </w:rPr>
              <w:t>其他</w:t>
            </w:r>
          </w:p>
        </w:tc>
        <w:tc>
          <w:tcPr>
            <w:tcW w:w="630" w:type="dxa"/>
            <w:noWrap w:val="0"/>
            <w:vAlign w:val="center"/>
          </w:tcPr>
          <w:p>
            <w:pPr>
              <w:jc w:val="center"/>
              <w:rPr>
                <w:rFonts w:ascii="宋体" w:hAnsi="宋体"/>
                <w:color w:val="auto"/>
                <w:sz w:val="21"/>
                <w:szCs w:val="21"/>
              </w:rPr>
            </w:pPr>
          </w:p>
        </w:tc>
        <w:tc>
          <w:tcPr>
            <w:tcW w:w="594" w:type="dxa"/>
            <w:noWrap w:val="0"/>
            <w:vAlign w:val="center"/>
          </w:tcPr>
          <w:p>
            <w:pPr>
              <w:jc w:val="center"/>
              <w:rPr>
                <w:rFonts w:ascii="宋体" w:hAnsi="宋体"/>
                <w:color w:val="auto"/>
                <w:sz w:val="21"/>
                <w:szCs w:val="21"/>
              </w:rPr>
            </w:pPr>
          </w:p>
        </w:tc>
        <w:tc>
          <w:tcPr>
            <w:tcW w:w="489" w:type="dxa"/>
            <w:noWrap w:val="0"/>
            <w:vAlign w:val="center"/>
          </w:tcPr>
          <w:p>
            <w:pPr>
              <w:jc w:val="center"/>
              <w:rPr>
                <w:rFonts w:ascii="宋体" w:hAnsi="宋体"/>
                <w:color w:val="auto"/>
                <w:sz w:val="21"/>
                <w:szCs w:val="21"/>
              </w:rPr>
            </w:pPr>
          </w:p>
        </w:tc>
        <w:tc>
          <w:tcPr>
            <w:tcW w:w="489" w:type="dxa"/>
            <w:noWrap w:val="0"/>
            <w:vAlign w:val="center"/>
          </w:tcPr>
          <w:p>
            <w:pPr>
              <w:jc w:val="center"/>
              <w:rPr>
                <w:rFonts w:ascii="宋体" w:hAnsi="宋体"/>
                <w:color w:val="auto"/>
                <w:sz w:val="21"/>
                <w:szCs w:val="21"/>
              </w:rPr>
            </w:pPr>
          </w:p>
        </w:tc>
        <w:tc>
          <w:tcPr>
            <w:tcW w:w="565" w:type="dxa"/>
            <w:noWrap w:val="0"/>
            <w:vAlign w:val="center"/>
          </w:tcPr>
          <w:p>
            <w:pPr>
              <w:jc w:val="center"/>
              <w:rPr>
                <w:rFonts w:ascii="宋体" w:hAnsi="宋体"/>
                <w:color w:val="auto"/>
                <w:sz w:val="21"/>
                <w:szCs w:val="21"/>
              </w:rPr>
            </w:pPr>
          </w:p>
        </w:tc>
        <w:tc>
          <w:tcPr>
            <w:tcW w:w="634" w:type="dxa"/>
            <w:noWrap w:val="0"/>
            <w:vAlign w:val="center"/>
          </w:tcPr>
          <w:p>
            <w:pPr>
              <w:jc w:val="center"/>
              <w:rPr>
                <w:rFonts w:ascii="宋体" w:hAnsi="宋体"/>
                <w:color w:val="auto"/>
                <w:sz w:val="21"/>
                <w:szCs w:val="21"/>
              </w:rPr>
            </w:pPr>
          </w:p>
        </w:tc>
        <w:tc>
          <w:tcPr>
            <w:tcW w:w="725" w:type="dxa"/>
            <w:noWrap w:val="0"/>
            <w:vAlign w:val="center"/>
          </w:tcPr>
          <w:p>
            <w:pPr>
              <w:jc w:val="center"/>
              <w:rPr>
                <w:rFonts w:hint="eastAsia" w:ascii="宋体" w:hAnsi="宋体"/>
                <w:color w:val="auto"/>
                <w:sz w:val="21"/>
                <w:szCs w:val="21"/>
              </w:rPr>
            </w:pPr>
          </w:p>
        </w:tc>
        <w:tc>
          <w:tcPr>
            <w:tcW w:w="1241" w:type="dxa"/>
            <w:noWrap w:val="0"/>
            <w:vAlign w:val="center"/>
          </w:tcPr>
          <w:p>
            <w:pPr>
              <w:jc w:val="center"/>
              <w:rPr>
                <w:rFonts w:hint="default" w:ascii="宋体" w:hAnsi="宋体" w:eastAsia="宋体"/>
                <w:color w:val="auto"/>
                <w:sz w:val="21"/>
                <w:szCs w:val="21"/>
                <w:lang w:val="en-US" w:eastAsia="zh-CN"/>
              </w:rPr>
            </w:pPr>
          </w:p>
        </w:tc>
        <w:tc>
          <w:tcPr>
            <w:tcW w:w="1281" w:type="dxa"/>
            <w:noWrap w:val="0"/>
            <w:vAlign w:val="center"/>
          </w:tcPr>
          <w:p>
            <w:pPr>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1668" w:type="dxa"/>
            <w:gridSpan w:val="2"/>
            <w:noWrap w:val="0"/>
            <w:vAlign w:val="center"/>
          </w:tcPr>
          <w:p>
            <w:pPr>
              <w:jc w:val="center"/>
              <w:rPr>
                <w:rFonts w:ascii="宋体" w:hAnsi="宋体"/>
                <w:color w:val="auto"/>
                <w:sz w:val="21"/>
                <w:szCs w:val="21"/>
              </w:rPr>
            </w:pPr>
            <w:r>
              <w:rPr>
                <w:rFonts w:ascii="宋体" w:hAnsi="宋体"/>
                <w:color w:val="auto"/>
                <w:sz w:val="21"/>
                <w:szCs w:val="21"/>
              </w:rPr>
              <w:t>合计</w:t>
            </w:r>
          </w:p>
        </w:tc>
        <w:tc>
          <w:tcPr>
            <w:tcW w:w="630" w:type="dxa"/>
            <w:noWrap w:val="0"/>
            <w:vAlign w:val="center"/>
          </w:tcPr>
          <w:p>
            <w:pPr>
              <w:jc w:val="center"/>
              <w:rPr>
                <w:rFonts w:ascii="宋体" w:hAnsi="宋体"/>
                <w:color w:val="auto"/>
                <w:sz w:val="21"/>
                <w:szCs w:val="21"/>
              </w:rPr>
            </w:pPr>
          </w:p>
        </w:tc>
        <w:tc>
          <w:tcPr>
            <w:tcW w:w="594" w:type="dxa"/>
            <w:noWrap w:val="0"/>
            <w:vAlign w:val="center"/>
          </w:tcPr>
          <w:p>
            <w:pPr>
              <w:jc w:val="center"/>
              <w:rPr>
                <w:rFonts w:ascii="宋体" w:hAnsi="宋体"/>
                <w:color w:val="auto"/>
                <w:sz w:val="21"/>
                <w:szCs w:val="21"/>
              </w:rPr>
            </w:pPr>
          </w:p>
        </w:tc>
        <w:tc>
          <w:tcPr>
            <w:tcW w:w="489" w:type="dxa"/>
            <w:noWrap w:val="0"/>
            <w:vAlign w:val="center"/>
          </w:tcPr>
          <w:p>
            <w:pPr>
              <w:jc w:val="center"/>
              <w:rPr>
                <w:rFonts w:ascii="宋体" w:hAnsi="宋体"/>
                <w:color w:val="auto"/>
                <w:sz w:val="21"/>
                <w:szCs w:val="21"/>
              </w:rPr>
            </w:pPr>
          </w:p>
        </w:tc>
        <w:tc>
          <w:tcPr>
            <w:tcW w:w="489" w:type="dxa"/>
            <w:noWrap w:val="0"/>
            <w:vAlign w:val="center"/>
          </w:tcPr>
          <w:p>
            <w:pPr>
              <w:jc w:val="center"/>
              <w:rPr>
                <w:rFonts w:ascii="宋体" w:hAnsi="宋体"/>
                <w:color w:val="auto"/>
                <w:sz w:val="21"/>
                <w:szCs w:val="21"/>
              </w:rPr>
            </w:pPr>
          </w:p>
        </w:tc>
        <w:tc>
          <w:tcPr>
            <w:tcW w:w="565" w:type="dxa"/>
            <w:noWrap w:val="0"/>
            <w:vAlign w:val="center"/>
          </w:tcPr>
          <w:p>
            <w:pPr>
              <w:jc w:val="center"/>
              <w:rPr>
                <w:rFonts w:ascii="宋体" w:hAnsi="宋体"/>
                <w:color w:val="auto"/>
                <w:sz w:val="21"/>
                <w:szCs w:val="21"/>
              </w:rPr>
            </w:pPr>
          </w:p>
        </w:tc>
        <w:tc>
          <w:tcPr>
            <w:tcW w:w="634" w:type="dxa"/>
            <w:noWrap w:val="0"/>
            <w:vAlign w:val="center"/>
          </w:tcPr>
          <w:p>
            <w:pPr>
              <w:jc w:val="center"/>
              <w:rPr>
                <w:rFonts w:ascii="宋体" w:hAnsi="宋体"/>
                <w:color w:val="auto"/>
                <w:sz w:val="21"/>
                <w:szCs w:val="21"/>
              </w:rPr>
            </w:pPr>
          </w:p>
        </w:tc>
        <w:tc>
          <w:tcPr>
            <w:tcW w:w="725" w:type="dxa"/>
            <w:noWrap w:val="0"/>
            <w:vAlign w:val="center"/>
          </w:tcPr>
          <w:p>
            <w:pPr>
              <w:jc w:val="center"/>
              <w:rPr>
                <w:rFonts w:ascii="宋体" w:hAnsi="宋体"/>
                <w:color w:val="auto"/>
                <w:sz w:val="21"/>
                <w:szCs w:val="21"/>
              </w:rPr>
            </w:pPr>
          </w:p>
        </w:tc>
        <w:tc>
          <w:tcPr>
            <w:tcW w:w="1241" w:type="dxa"/>
            <w:noWrap w:val="0"/>
            <w:vAlign w:val="center"/>
          </w:tcPr>
          <w:p>
            <w:pPr>
              <w:jc w:val="center"/>
              <w:rPr>
                <w:rFonts w:hint="default" w:ascii="宋体" w:hAnsi="宋体" w:eastAsia="宋体"/>
                <w:color w:val="auto"/>
                <w:sz w:val="21"/>
                <w:szCs w:val="21"/>
                <w:lang w:val="en-US" w:eastAsia="zh-CN"/>
              </w:rPr>
            </w:pPr>
          </w:p>
        </w:tc>
        <w:tc>
          <w:tcPr>
            <w:tcW w:w="1281" w:type="dxa"/>
            <w:noWrap w:val="0"/>
            <w:vAlign w:val="center"/>
          </w:tcPr>
          <w:p>
            <w:pPr>
              <w:jc w:val="center"/>
              <w:rPr>
                <w:rFonts w:ascii="宋体" w:hAnsi="宋体"/>
                <w:color w:val="auto"/>
                <w:sz w:val="21"/>
                <w:szCs w:val="21"/>
              </w:rPr>
            </w:pPr>
          </w:p>
        </w:tc>
      </w:tr>
    </w:tbl>
    <w:p>
      <w:pPr>
        <w:pStyle w:val="7"/>
        <w:rPr>
          <w:rFonts w:hint="eastAsia" w:ascii="宋体" w:hAnsi="宋体" w:eastAsia="宋体" w:cs="宋体"/>
          <w:color w:val="auto"/>
          <w:kern w:val="0"/>
          <w:sz w:val="28"/>
          <w:szCs w:val="28"/>
          <w:highlight w:val="none"/>
          <w:lang w:val="en-US" w:eastAsia="zh-CN" w:bidi="ar"/>
        </w:rPr>
      </w:pPr>
    </w:p>
    <w:p>
      <w:pPr>
        <w:pStyle w:val="8"/>
        <w:rPr>
          <w:rFonts w:hint="eastAsia" w:ascii="宋体" w:hAnsi="宋体" w:eastAsia="宋体" w:cs="宋体"/>
          <w:color w:val="auto"/>
          <w:kern w:val="0"/>
          <w:sz w:val="28"/>
          <w:szCs w:val="28"/>
          <w:highlight w:val="none"/>
          <w:lang w:val="en-US" w:eastAsia="zh-CN" w:bidi="ar"/>
        </w:rPr>
      </w:pPr>
    </w:p>
    <w:p>
      <w:pPr>
        <w:rPr>
          <w:rFonts w:hint="eastAsia"/>
          <w:lang w:val="en-US" w:eastAsia="zh-CN"/>
        </w:rPr>
      </w:pPr>
    </w:p>
    <w:p>
      <w:pPr>
        <w:pStyle w:val="7"/>
        <w:ind w:left="0" w:leftChars="0" w:firstLine="0" w:firstLineChars="0"/>
        <w:rPr>
          <w:rFonts w:hint="eastAsia"/>
          <w:lang w:val="en-US" w:eastAsia="zh-CN"/>
        </w:rPr>
      </w:pPr>
    </w:p>
    <w:p>
      <w:pPr>
        <w:pStyle w:val="8"/>
        <w:rPr>
          <w:rFonts w:hint="eastAsia"/>
          <w:lang w:val="en-US" w:eastAsia="zh-CN"/>
        </w:rPr>
      </w:pPr>
    </w:p>
    <w:p>
      <w:pPr>
        <w:pStyle w:val="3"/>
        <w:bidi w:val="0"/>
        <w:jc w:val="center"/>
        <w:rPr>
          <w:rFonts w:hint="eastAsia"/>
          <w:lang w:val="en-US" w:eastAsia="zh-CN"/>
        </w:rPr>
      </w:pPr>
      <w:bookmarkStart w:id="142" w:name="_Toc17628"/>
      <w:r>
        <w:rPr>
          <w:rFonts w:hint="eastAsia"/>
          <w:lang w:val="en-US" w:eastAsia="zh-CN"/>
        </w:rPr>
        <w:t>第十一章 结论和建议</w:t>
      </w:r>
      <w:bookmarkEnd w:id="142"/>
    </w:p>
    <w:p>
      <w:pPr>
        <w:pStyle w:val="4"/>
        <w:bidi w:val="0"/>
        <w:rPr>
          <w:rFonts w:hint="eastAsia"/>
          <w:lang w:val="en-US" w:eastAsia="zh-CN"/>
        </w:rPr>
      </w:pPr>
      <w:bookmarkStart w:id="143" w:name="_Toc7238"/>
      <w:r>
        <w:rPr>
          <w:rFonts w:hint="eastAsia"/>
          <w:lang w:val="en-US" w:eastAsia="zh-CN"/>
        </w:rPr>
        <w:t>11.1 结论</w:t>
      </w:r>
      <w:bookmarkEnd w:id="143"/>
    </w:p>
    <w:p>
      <w:pPr>
        <w:pStyle w:val="6"/>
        <w:keepNext w:val="0"/>
        <w:keepLines w:val="0"/>
        <w:pageBreakBefore w:val="0"/>
        <w:widowControl/>
        <w:kinsoku/>
        <w:wordWrap/>
        <w:overflowPunct/>
        <w:topLinePunct w:val="0"/>
        <w:autoSpaceDE/>
        <w:autoSpaceDN/>
        <w:bidi w:val="0"/>
        <w:adjustRightInd/>
        <w:snapToGrid/>
        <w:spacing w:line="360" w:lineRule="auto"/>
        <w:ind w:left="0" w:right="0" w:rightChars="0" w:firstLine="560" w:firstLineChars="200"/>
        <w:jc w:val="both"/>
        <w:textAlignment w:val="auto"/>
        <w:rPr>
          <w:rFonts w:hint="eastAsia" w:ascii="Times New Roman" w:eastAsia="宋体" w:hAnsiTheme="minorAscii" w:cstheme="minorBidi"/>
          <w:kern w:val="2"/>
          <w:sz w:val="28"/>
          <w:szCs w:val="28"/>
          <w:lang w:val="en-US" w:eastAsia="zh-CN" w:bidi="ar-SA"/>
        </w:rPr>
      </w:pPr>
      <w:r>
        <w:rPr>
          <w:rFonts w:hint="eastAsia" w:ascii="Times New Roman" w:eastAsia="宋体" w:hAnsiTheme="minorAscii" w:cstheme="minorBidi"/>
          <w:kern w:val="2"/>
          <w:sz w:val="28"/>
          <w:szCs w:val="28"/>
          <w:lang w:val="en-US" w:eastAsia="zh-CN" w:bidi="ar-SA"/>
        </w:rPr>
        <w:t>1、综上所述，本项目实施是农村内排水规划和环境保护规划实施的重要组成部分，是实现水污染控制和保证水环境质量的有效手段，是改善集镇基础设施的重要途径之一。因此，本项目在本村建设中的地位是十分重要的。</w:t>
      </w:r>
    </w:p>
    <w:p>
      <w:pPr>
        <w:pStyle w:val="6"/>
        <w:keepNext w:val="0"/>
        <w:keepLines w:val="0"/>
        <w:pageBreakBefore w:val="0"/>
        <w:widowControl/>
        <w:kinsoku/>
        <w:wordWrap/>
        <w:overflowPunct/>
        <w:topLinePunct w:val="0"/>
        <w:autoSpaceDE/>
        <w:autoSpaceDN/>
        <w:bidi w:val="0"/>
        <w:adjustRightInd/>
        <w:snapToGrid/>
        <w:spacing w:line="360" w:lineRule="auto"/>
        <w:ind w:left="0" w:right="0" w:rightChars="0" w:firstLine="560" w:firstLineChars="200"/>
        <w:jc w:val="both"/>
        <w:textAlignment w:val="auto"/>
        <w:rPr>
          <w:rFonts w:hint="eastAsia" w:ascii="Times New Roman" w:eastAsia="宋体" w:hAnsiTheme="minorAscii" w:cstheme="minorBidi"/>
          <w:kern w:val="2"/>
          <w:sz w:val="28"/>
          <w:szCs w:val="28"/>
          <w:lang w:val="en-US" w:eastAsia="zh-CN" w:bidi="ar-SA"/>
        </w:rPr>
      </w:pPr>
      <w:r>
        <w:rPr>
          <w:rFonts w:hint="eastAsia" w:ascii="Times New Roman" w:eastAsia="宋体" w:hAnsiTheme="minorAscii" w:cstheme="minorBidi"/>
          <w:kern w:val="2"/>
          <w:sz w:val="28"/>
          <w:szCs w:val="28"/>
          <w:lang w:val="en-US" w:eastAsia="zh-CN" w:bidi="ar-SA"/>
        </w:rPr>
        <w:t>2、该项目实施后可解决村内近期(2024)60</w:t>
      </w:r>
      <w:r>
        <w:rPr>
          <w:rFonts w:hint="eastAsia" w:hAnsiTheme="minorAscii" w:cstheme="minorBidi"/>
          <w:kern w:val="2"/>
          <w:sz w:val="28"/>
          <w:szCs w:val="28"/>
          <w:lang w:val="en-US" w:eastAsia="zh-CN" w:bidi="ar-SA"/>
        </w:rPr>
        <w:t>3</w:t>
      </w:r>
      <w:r>
        <w:rPr>
          <w:rFonts w:hint="eastAsia" w:ascii="Times New Roman" w:eastAsia="宋体" w:hAnsiTheme="minorAscii" w:cstheme="minorBidi"/>
          <w:kern w:val="2"/>
          <w:sz w:val="28"/>
          <w:szCs w:val="28"/>
          <w:lang w:val="en-US" w:eastAsia="zh-CN" w:bidi="ar-SA"/>
        </w:rPr>
        <w:t xml:space="preserve"> 人、远期</w:t>
      </w:r>
      <w:r>
        <w:rPr>
          <w:rFonts w:hint="eastAsia" w:hAnsiTheme="minorAscii" w:cstheme="minorBidi"/>
          <w:kern w:val="2"/>
          <w:sz w:val="28"/>
          <w:szCs w:val="28"/>
          <w:lang w:val="en-US" w:eastAsia="zh-CN" w:bidi="ar-SA"/>
        </w:rPr>
        <w:t>其他村内生</w:t>
      </w:r>
      <w:r>
        <w:rPr>
          <w:rFonts w:hint="eastAsia" w:ascii="Times New Roman" w:eastAsia="宋体" w:hAnsiTheme="minorAscii" w:cstheme="minorBidi"/>
          <w:kern w:val="2"/>
          <w:sz w:val="28"/>
          <w:szCs w:val="28"/>
          <w:lang w:val="en-US" w:eastAsia="zh-CN" w:bidi="ar-SA"/>
        </w:rPr>
        <w:t>活污水排放问题。改善</w:t>
      </w:r>
      <w:r>
        <w:rPr>
          <w:rFonts w:hint="eastAsia" w:hAnsiTheme="minorAscii" w:cstheme="minorBidi"/>
          <w:kern w:val="2"/>
          <w:sz w:val="28"/>
          <w:szCs w:val="28"/>
          <w:lang w:val="en-US" w:eastAsia="zh-CN" w:bidi="ar-SA"/>
        </w:rPr>
        <w:t>村内</w:t>
      </w:r>
      <w:r>
        <w:rPr>
          <w:rFonts w:hint="eastAsia" w:ascii="Times New Roman" w:eastAsia="宋体" w:hAnsiTheme="minorAscii" w:cstheme="minorBidi"/>
          <w:kern w:val="2"/>
          <w:sz w:val="28"/>
          <w:szCs w:val="28"/>
          <w:lang w:val="en-US" w:eastAsia="zh-CN" w:bidi="ar-SA"/>
        </w:rPr>
        <w:t>生活生产条件，保护环境，促进当地经济可持续发展。</w:t>
      </w:r>
    </w:p>
    <w:p>
      <w:pPr>
        <w:pStyle w:val="6"/>
        <w:keepNext w:val="0"/>
        <w:keepLines w:val="0"/>
        <w:pageBreakBefore w:val="0"/>
        <w:widowControl/>
        <w:kinsoku/>
        <w:wordWrap/>
        <w:overflowPunct/>
        <w:topLinePunct w:val="0"/>
        <w:autoSpaceDE/>
        <w:autoSpaceDN/>
        <w:bidi w:val="0"/>
        <w:adjustRightInd/>
        <w:snapToGrid/>
        <w:spacing w:line="360" w:lineRule="auto"/>
        <w:ind w:left="0" w:right="0" w:rightChars="0" w:firstLine="560" w:firstLineChars="200"/>
        <w:jc w:val="both"/>
        <w:textAlignment w:val="auto"/>
        <w:rPr>
          <w:rFonts w:hint="eastAsia" w:ascii="Times New Roman" w:eastAsia="宋体" w:hAnsiTheme="minorAscii" w:cstheme="minorBidi"/>
          <w:kern w:val="2"/>
          <w:sz w:val="28"/>
          <w:szCs w:val="28"/>
          <w:lang w:val="en-US" w:eastAsia="zh-CN" w:bidi="ar-SA"/>
        </w:rPr>
      </w:pPr>
      <w:r>
        <w:rPr>
          <w:rFonts w:hint="eastAsia" w:ascii="Times New Roman" w:eastAsia="宋体" w:hAnsiTheme="minorAscii" w:cstheme="minorBidi"/>
          <w:kern w:val="2"/>
          <w:sz w:val="28"/>
          <w:szCs w:val="28"/>
          <w:lang w:val="en-US" w:eastAsia="zh-CN" w:bidi="ar-SA"/>
        </w:rPr>
        <w:t>2、随着人民生活水平的提高，对基础设施的建设提出了新的要求，而本工程的建设将进一步促进某各项事业的发展。</w:t>
      </w:r>
    </w:p>
    <w:p>
      <w:pPr>
        <w:pStyle w:val="4"/>
        <w:bidi w:val="0"/>
        <w:rPr>
          <w:rFonts w:hint="eastAsia"/>
          <w:lang w:val="en-US" w:eastAsia="zh-CN"/>
        </w:rPr>
      </w:pPr>
      <w:bookmarkStart w:id="144" w:name="_Toc6289"/>
      <w:r>
        <w:rPr>
          <w:rFonts w:hint="eastAsia"/>
          <w:lang w:val="en-US" w:eastAsia="zh-CN"/>
        </w:rPr>
        <w:t>11.2 建议</w:t>
      </w:r>
      <w:bookmarkEnd w:id="144"/>
    </w:p>
    <w:p>
      <w:pPr>
        <w:pStyle w:val="6"/>
        <w:keepNext w:val="0"/>
        <w:keepLines w:val="0"/>
        <w:pageBreakBefore w:val="0"/>
        <w:widowControl/>
        <w:kinsoku/>
        <w:wordWrap/>
        <w:overflowPunct/>
        <w:topLinePunct w:val="0"/>
        <w:autoSpaceDE/>
        <w:autoSpaceDN/>
        <w:bidi w:val="0"/>
        <w:adjustRightInd/>
        <w:snapToGrid/>
        <w:spacing w:line="360" w:lineRule="auto"/>
        <w:ind w:left="0" w:right="0" w:rightChars="0" w:firstLine="560" w:firstLineChars="200"/>
        <w:jc w:val="both"/>
        <w:textAlignment w:val="auto"/>
        <w:rPr>
          <w:rFonts w:hint="eastAsia" w:ascii="Times New Roman" w:eastAsia="宋体" w:hAnsiTheme="minorAscii" w:cstheme="minorBidi"/>
          <w:kern w:val="2"/>
          <w:sz w:val="28"/>
          <w:szCs w:val="28"/>
          <w:lang w:val="en-US" w:eastAsia="zh-CN" w:bidi="ar-SA"/>
        </w:rPr>
      </w:pPr>
      <w:r>
        <w:rPr>
          <w:rFonts w:hint="eastAsia" w:ascii="Times New Roman" w:eastAsia="宋体" w:hAnsiTheme="minorAscii" w:cstheme="minorBidi"/>
          <w:kern w:val="2"/>
          <w:sz w:val="28"/>
          <w:szCs w:val="28"/>
          <w:lang w:val="en-US" w:eastAsia="zh-CN" w:bidi="ar-SA"/>
        </w:rPr>
        <w:t>1、由于项目建设是一项规模较小、单一的基础设施工程，建议建设单位协调好建设前期准备工作，尽快制定详细的征地和安置计划，确保工程顺利开工。</w:t>
      </w:r>
    </w:p>
    <w:p>
      <w:pPr>
        <w:pStyle w:val="6"/>
        <w:keepNext w:val="0"/>
        <w:keepLines w:val="0"/>
        <w:pageBreakBefore w:val="0"/>
        <w:widowControl/>
        <w:kinsoku/>
        <w:wordWrap/>
        <w:overflowPunct/>
        <w:topLinePunct w:val="0"/>
        <w:autoSpaceDE/>
        <w:autoSpaceDN/>
        <w:bidi w:val="0"/>
        <w:adjustRightInd/>
        <w:snapToGrid/>
        <w:spacing w:line="360" w:lineRule="auto"/>
        <w:ind w:left="0" w:right="0" w:rightChars="0" w:firstLine="560" w:firstLineChars="200"/>
        <w:jc w:val="both"/>
        <w:textAlignment w:val="auto"/>
        <w:rPr>
          <w:rFonts w:hint="eastAsia" w:ascii="Times New Roman" w:eastAsia="宋体" w:hAnsiTheme="minorAscii" w:cstheme="minorBidi"/>
          <w:kern w:val="2"/>
          <w:sz w:val="28"/>
          <w:szCs w:val="28"/>
          <w:lang w:val="en-US" w:eastAsia="zh-CN" w:bidi="ar-SA"/>
        </w:rPr>
      </w:pPr>
      <w:r>
        <w:rPr>
          <w:rFonts w:hint="eastAsia" w:ascii="Times New Roman" w:eastAsia="宋体" w:hAnsiTheme="minorAscii" w:cstheme="minorBidi"/>
          <w:kern w:val="2"/>
          <w:sz w:val="28"/>
          <w:szCs w:val="28"/>
          <w:lang w:val="en-US" w:eastAsia="zh-CN" w:bidi="ar-SA"/>
        </w:rPr>
        <w:t>2、建设该项目的同时，应结合乡村总体规划，完善相关配套设施建设。在资金到位时，统一实施。</w:t>
      </w:r>
    </w:p>
    <w:bookmarkEnd w:id="108"/>
    <w:bookmarkEnd w:id="109"/>
    <w:bookmarkEnd w:id="110"/>
    <w:bookmarkEnd w:id="140"/>
    <w:bookmarkEnd w:id="141"/>
    <w:p>
      <w:pPr>
        <w:pStyle w:val="4"/>
        <w:rPr>
          <w:rFonts w:hint="eastAsia"/>
          <w:lang w:eastAsia="zh-CN"/>
        </w:rPr>
      </w:pPr>
      <w:r>
        <w:rPr>
          <w:rFonts w:hint="eastAsia"/>
          <w:lang w:eastAsia="zh-CN"/>
        </w:rPr>
        <w:drawing>
          <wp:inline distT="0" distB="0" distL="114300" distR="114300">
            <wp:extent cx="4448175" cy="7305675"/>
            <wp:effectExtent l="0" t="0" r="9525" b="9525"/>
            <wp:docPr id="1" name="图片 1" descr="水磨村排水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水磨村排水底图"/>
                    <pic:cNvPicPr>
                      <a:picLocks noChangeAspect="1"/>
                    </pic:cNvPicPr>
                  </pic:nvPicPr>
                  <pic:blipFill>
                    <a:blip r:embed="rId17"/>
                    <a:stretch>
                      <a:fillRect/>
                    </a:stretch>
                  </pic:blipFill>
                  <pic:spPr>
                    <a:xfrm>
                      <a:off x="0" y="0"/>
                      <a:ext cx="4448175" cy="7305675"/>
                    </a:xfrm>
                    <a:prstGeom prst="rect">
                      <a:avLst/>
                    </a:prstGeom>
                  </pic:spPr>
                </pic:pic>
              </a:graphicData>
            </a:graphic>
          </wp:inline>
        </w:drawing>
      </w:r>
    </w:p>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auto"/>
    <w:pitch w:val="default"/>
    <w:sig w:usb0="E0002AFF" w:usb1="C000247B" w:usb2="00000009" w:usb3="00000000" w:csb0="200001FF" w:csb1="00000000"/>
  </w:font>
  <w:font w:name="方正粗黑宋简体">
    <w:altName w:val="宋体"/>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pPr>
                      <w:pStyle w:val="8"/>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8"/>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31" w:lineRule="auto"/>
      <w:ind w:left="12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宋体" w:hAnsi="宋体" w:eastAsia="宋体" w:cs="宋体"/>
        <w:spacing w:val="4"/>
        <w:sz w:val="17"/>
        <w:szCs w:val="17"/>
        <w:u w:val="none"/>
      </w:rPr>
      <w:t>四川自力建筑勘测设计有限公司</w:t>
    </w:r>
    <w:r>
      <w:rPr>
        <w:rFonts w:ascii="宋体" w:hAnsi="宋体" w:eastAsia="宋体" w:cs="宋体"/>
        <w:spacing w:val="4"/>
        <w:sz w:val="17"/>
        <w:szCs w:val="17"/>
        <w:u w:val="none"/>
      </w:rPr>
      <w:t xml:space="preserve">     </w:t>
    </w:r>
    <w:r>
      <w:rPr>
        <w:rFonts w:ascii="宋体" w:hAnsi="宋体" w:eastAsia="宋体" w:cs="宋体"/>
        <w:spacing w:val="4"/>
        <w:sz w:val="17"/>
        <w:szCs w:val="17"/>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ascii="宋体" w:hAnsi="宋体" w:eastAsia="宋体" w:cs="宋体"/>
        <w:spacing w:val="4"/>
        <w:sz w:val="17"/>
        <w:szCs w:val="17"/>
      </w:rPr>
      <w:t>四川自力建筑勘测设计有限公司</w: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360" w:lineRule="auto"/>
      <w:textAlignment w:val="auto"/>
      <w:rPr>
        <w:u w:val="single"/>
      </w:rPr>
    </w:pPr>
  </w:p>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0" w:line="14" w:lineRule="auto"/>
      <w:ind w:left="0"/>
      <w:rPr>
        <w:sz w:val="20"/>
      </w:rPr>
    </w:pPr>
    <w:r>
      <mc:AlternateContent>
        <mc:Choice Requires="wps">
          <w:drawing>
            <wp:anchor distT="0" distB="0" distL="114300" distR="114300" simplePos="0" relativeHeight="251659264" behindDoc="1" locked="0" layoutInCell="1" allowOverlap="1">
              <wp:simplePos x="0" y="0"/>
              <wp:positionH relativeFrom="page">
                <wp:posOffset>1067435</wp:posOffset>
              </wp:positionH>
              <wp:positionV relativeFrom="page">
                <wp:posOffset>653415</wp:posOffset>
              </wp:positionV>
              <wp:extent cx="3009900" cy="1397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009900" cy="139700"/>
                      </a:xfrm>
                      <a:prstGeom prst="rect">
                        <a:avLst/>
                      </a:prstGeom>
                      <a:noFill/>
                      <a:ln w="9525">
                        <a:noFill/>
                      </a:ln>
                    </wps:spPr>
                    <wps:txbx>
                      <w:txbxContent>
                        <w:p>
                          <w:pPr>
                            <w:rPr>
                              <w:rFonts w:hint="eastAsia"/>
                            </w:rPr>
                          </w:pPr>
                        </w:p>
                      </w:txbxContent>
                    </wps:txbx>
                    <wps:bodyPr lIns="0" tIns="0" rIns="0" bIns="0" upright="1"/>
                  </wps:wsp>
                </a:graphicData>
              </a:graphic>
            </wp:anchor>
          </w:drawing>
        </mc:Choice>
        <mc:Fallback>
          <w:pict>
            <v:shape id="_x0000_s1026" o:spid="_x0000_s1026" o:spt="202" type="#_x0000_t202" style="position:absolute;left:0pt;margin-left:84.05pt;margin-top:51.45pt;height:11pt;width:237pt;mso-position-horizontal-relative:page;mso-position-vertical-relative:page;z-index:-251657216;mso-width-relative:page;mso-height-relative:page;" filled="f" stroked="f" coordsize="21600,21600" o:gfxdata="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81w1dgAAAALAQAADwAAAAAAAAABACAAAAAiAAAAZHJzL2Rvd25yZXYu&#10;eG1sUEsBAhQAFAAAAAgAh07iQMb4YE7CAQAAfQMAAA4AAAAAAAAAAQAgAAAAJwEAAGRycy9lMm9E&#10;b2MueG1sUEsFBgAAAAAGAAYAWQEAAFsFAAAAAA==&#10;">
              <v:fill on="f" focussize="0,0"/>
              <v:stroke on="f"/>
              <v:imagedata o:title=""/>
              <o:lock v:ext="edit" aspectratio="f"/>
              <v:textbox inset="0mm,0mm,0mm,0mm">
                <w:txbxContent>
                  <w:p>
                    <w:pPr>
                      <w:rPr>
                        <w:rFonts w:hint="eastAsia"/>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jc w:val="both"/>
      <w:rPr>
        <w:rFonts w:hint="eastAsia"/>
      </w:rPr>
    </w:pPr>
    <w:r>
      <w:rPr>
        <w:rFonts w:hint="eastAsia"/>
      </w:rPr>
      <w:t>塔城市阿不都拉乡水磨村粪污一体化项目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8E6765"/>
    <w:multiLevelType w:val="singleLevel"/>
    <w:tmpl w:val="098E6765"/>
    <w:lvl w:ilvl="0" w:tentative="0">
      <w:start w:val="1"/>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4ZGVjMWI4NjRhNzhmYjA5ZTA4YTU4MTA5NTRhMTQifQ=="/>
    <w:docVar w:name="KSO_WPS_MARK_KEY" w:val="1701297e-17bf-425c-aca9-3b79cc542a34"/>
  </w:docVars>
  <w:rsids>
    <w:rsidRoot w:val="00000000"/>
    <w:rsid w:val="01705015"/>
    <w:rsid w:val="01AB5323"/>
    <w:rsid w:val="037E4376"/>
    <w:rsid w:val="063A442E"/>
    <w:rsid w:val="0AA46307"/>
    <w:rsid w:val="153B1768"/>
    <w:rsid w:val="17712755"/>
    <w:rsid w:val="28486476"/>
    <w:rsid w:val="2C656DAA"/>
    <w:rsid w:val="314C404F"/>
    <w:rsid w:val="363950D2"/>
    <w:rsid w:val="3AEC462E"/>
    <w:rsid w:val="42205EF2"/>
    <w:rsid w:val="4DD2168D"/>
    <w:rsid w:val="4FA63AA1"/>
    <w:rsid w:val="51685D4D"/>
    <w:rsid w:val="54010F08"/>
    <w:rsid w:val="62FF7B7A"/>
    <w:rsid w:val="68BA0A14"/>
    <w:rsid w:val="6A7D5DF5"/>
    <w:rsid w:val="6FE01509"/>
    <w:rsid w:val="72E524DF"/>
    <w:rsid w:val="7B4A5D47"/>
    <w:rsid w:val="7D1C3C6C"/>
    <w:rsid w:val="7DC30F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eastAsia="宋体" w:asciiTheme="minorAscii" w:hAnsiTheme="minorAscii" w:cstheme="minorBidi"/>
      <w:kern w:val="2"/>
      <w:sz w:val="28"/>
      <w:szCs w:val="22"/>
      <w:lang w:val="en-US" w:eastAsia="zh-CN" w:bidi="ar-SA"/>
    </w:rPr>
  </w:style>
  <w:style w:type="paragraph" w:styleId="3">
    <w:name w:val="heading 1"/>
    <w:basedOn w:val="1"/>
    <w:next w:val="1"/>
    <w:qFormat/>
    <w:uiPriority w:val="9"/>
    <w:pPr>
      <w:keepNext/>
      <w:keepLines/>
      <w:spacing w:before="340" w:after="330" w:line="480" w:lineRule="auto"/>
      <w:outlineLvl w:val="0"/>
    </w:pPr>
    <w:rPr>
      <w:b/>
      <w:bCs/>
      <w:kern w:val="44"/>
      <w:sz w:val="44"/>
      <w:szCs w:val="44"/>
    </w:rPr>
  </w:style>
  <w:style w:type="paragraph" w:styleId="4">
    <w:name w:val="heading 2"/>
    <w:basedOn w:val="1"/>
    <w:next w:val="1"/>
    <w:unhideWhenUsed/>
    <w:qFormat/>
    <w:uiPriority w:val="9"/>
    <w:pPr>
      <w:keepNext/>
      <w:keepLines/>
      <w:spacing w:before="260" w:after="260" w:line="480" w:lineRule="auto"/>
      <w:outlineLvl w:val="1"/>
    </w:pPr>
    <w:rPr>
      <w:rFonts w:asciiTheme="majorAscii" w:hAnsiTheme="majorAscii" w:eastAsiaTheme="majorEastAsia" w:cstheme="majorBidi"/>
      <w:b/>
      <w:bCs/>
      <w:sz w:val="32"/>
      <w:szCs w:val="32"/>
    </w:rPr>
  </w:style>
  <w:style w:type="paragraph" w:styleId="2">
    <w:name w:val="heading 3"/>
    <w:basedOn w:val="1"/>
    <w:next w:val="1"/>
    <w:unhideWhenUsed/>
    <w:qFormat/>
    <w:uiPriority w:val="9"/>
    <w:pPr>
      <w:keepNext/>
      <w:keepLines/>
      <w:spacing w:before="120" w:after="120" w:line="416" w:lineRule="auto"/>
      <w:outlineLvl w:val="2"/>
    </w:pPr>
    <w:rPr>
      <w:rFonts w:asciiTheme="minorAscii" w:hAnsiTheme="minorAscii"/>
      <w:b/>
      <w:bCs/>
      <w:sz w:val="28"/>
      <w:szCs w:val="32"/>
    </w:rPr>
  </w:style>
  <w:style w:type="character" w:default="1" w:styleId="16">
    <w:name w:val="Default Paragraph Font"/>
    <w:semiHidden/>
    <w:qFormat/>
    <w:uiPriority w:val="0"/>
  </w:style>
  <w:style w:type="table" w:default="1" w:styleId="15">
    <w:name w:val="Normal Table"/>
    <w:semiHidden/>
    <w:uiPriority w:val="0"/>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rPr>
      <w:rFonts w:ascii="Times New Roman" w:hAnsi="Times New Roman" w:eastAsia="宋体" w:cs="Times New Roman"/>
      <w:szCs w:val="24"/>
    </w:rPr>
  </w:style>
  <w:style w:type="paragraph" w:styleId="6">
    <w:name w:val="Body Text"/>
    <w:basedOn w:val="1"/>
    <w:next w:val="7"/>
    <w:unhideWhenUsed/>
    <w:qFormat/>
    <w:uiPriority w:val="0"/>
    <w:rPr>
      <w:rFonts w:ascii="Times New Roman" w:hAnsi="Times New Roman" w:eastAsia="宋体" w:cs="Times New Roman"/>
      <w:szCs w:val="24"/>
    </w:rPr>
  </w:style>
  <w:style w:type="paragraph" w:styleId="7">
    <w:name w:val="Body Text First Indent"/>
    <w:basedOn w:val="6"/>
    <w:next w:val="8"/>
    <w:qFormat/>
    <w:uiPriority w:val="0"/>
    <w:pPr>
      <w:spacing w:after="120"/>
      <w:ind w:firstLine="420" w:firstLineChars="100"/>
    </w:pPr>
    <w:rPr>
      <w:rFonts w:ascii="宋体" w:hAnsi="宋体" w:cs="宋体"/>
      <w:sz w:val="21"/>
      <w:szCs w:val="24"/>
      <w:lang w:val="en-US" w:eastAsia="zh-CN" w:bidi="ar-SA"/>
    </w:rPr>
  </w:style>
  <w:style w:type="paragraph" w:styleId="8">
    <w:name w:val="footer"/>
    <w:basedOn w:val="1"/>
    <w:next w:val="1"/>
    <w:unhideWhenUsed/>
    <w:qFormat/>
    <w:uiPriority w:val="99"/>
    <w:pPr>
      <w:tabs>
        <w:tab w:val="center" w:pos="4153"/>
        <w:tab w:val="right" w:pos="8306"/>
      </w:tabs>
      <w:snapToGrid w:val="0"/>
      <w:jc w:val="left"/>
    </w:pPr>
    <w:rPr>
      <w:sz w:val="18"/>
      <w:szCs w:val="18"/>
    </w:rPr>
  </w:style>
  <w:style w:type="paragraph" w:styleId="9">
    <w:name w:val="Body Text Indent"/>
    <w:basedOn w:val="1"/>
    <w:next w:val="6"/>
    <w:qFormat/>
    <w:uiPriority w:val="0"/>
    <w:pPr>
      <w:spacing w:after="120"/>
      <w:ind w:left="420" w:leftChars="200"/>
    </w:pPr>
  </w:style>
  <w:style w:type="paragraph" w:styleId="10">
    <w:name w:val="toc 3"/>
    <w:basedOn w:val="1"/>
    <w:next w:val="1"/>
    <w:uiPriority w:val="0"/>
    <w:pPr>
      <w:ind w:left="840" w:leftChars="400"/>
    </w:p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qFormat/>
    <w:uiPriority w:val="39"/>
    <w:rPr>
      <w:rFonts w:eastAsia="宋体"/>
      <w:b/>
    </w:rPr>
  </w:style>
  <w:style w:type="paragraph" w:styleId="13">
    <w:name w:val="toc 2"/>
    <w:basedOn w:val="1"/>
    <w:next w:val="1"/>
    <w:qFormat/>
    <w:uiPriority w:val="0"/>
    <w:pPr>
      <w:ind w:left="420" w:leftChars="200"/>
    </w:pPr>
  </w:style>
  <w:style w:type="paragraph" w:styleId="14">
    <w:name w:val="Body Text First Indent 2"/>
    <w:basedOn w:val="9"/>
    <w:next w:val="7"/>
    <w:qFormat/>
    <w:uiPriority w:val="0"/>
    <w:pPr>
      <w:spacing w:before="100" w:beforeAutospacing="1"/>
      <w:ind w:left="0" w:firstLine="420" w:firstLineChars="200"/>
    </w:pPr>
  </w:style>
  <w:style w:type="character" w:styleId="17">
    <w:name w:val="Strong"/>
    <w:basedOn w:val="16"/>
    <w:qFormat/>
    <w:uiPriority w:val="0"/>
    <w:rPr>
      <w:b/>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本文正文"/>
    <w:basedOn w:val="1"/>
    <w:qFormat/>
    <w:uiPriority w:val="0"/>
    <w:pPr>
      <w:spacing w:line="360" w:lineRule="auto"/>
      <w:ind w:firstLine="200" w:firstLineChars="200"/>
    </w:pPr>
    <w:rPr>
      <w:rFonts w:ascii="Times New Roman" w:hAnsi="Times New Roman" w:eastAsia="宋体" w:cs="Times New Roman"/>
      <w:sz w:val="28"/>
      <w:szCs w:val="28"/>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E0NTEyOTI2NDc5IiwKCSJHcm91cElkIiA6ICI0OTM3NDM0ODEiLAoJIkltYWdlIiA6ICJpVkJPUncwS0dnb0FBQUFOU1VoRVVnQUFCQUlBQUFJMENBWUFBQUNIMDRzL0FBQUFDWEJJV1hNQUFBc1RBQUFMRXdFQW1wd1lBQUFnQUVsRVFWUjRuT3pkYlpBajkzMGYrTisvQWN6c2NwZTdraWh4S1lXeDVaalJRN1pJTG5vcWxzNWlFcFY4dnJLanNwUGMyWW50S0VrbHNWV1hoOU9kNHlTTUUxKzB2blBpK0dJN3J2aHlWYzY5dU11ZHFDZEhqeXRMaWt3NVBNdFBsRFhBN281V0ZCUEdpaTE2UlltUjVDVkZjbWFBN3YrOVdNeHE5cEV6T3c4Tm9EK2ZxaWswZ0g3NGRnT0RBYjdUM1l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24224</Words>
  <Characters>49793</Characters>
  <Lines>0</Lines>
  <Paragraphs>0</Paragraphs>
  <TotalTime>1</TotalTime>
  <ScaleCrop>false</ScaleCrop>
  <LinksUpToDate>false</LinksUpToDate>
  <CharactersWithSpaces>50512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2024-01-27T08:28:00Z</dcterms:created>
  <dc:creator>木苗</dc:creator>
  <cp:lastModifiedBy>荷叶儿</cp:lastModifiedBy>
  <cp:lastPrinted>2024-02-02T09:38:00Z</cp:lastPrinted>
  <dcterms:modified xsi:type="dcterms:W3CDTF">2024-02-23T03:00:10Z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184C1EDA9099490996B4708825A83F41_12</vt:lpwstr>
  </property>
</Properties>
</file>