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b/>
          <w:color w:val="auto"/>
          <w:kern w:val="1"/>
          <w:sz w:val="36"/>
          <w:szCs w:val="36"/>
          <w:highlight w:val="none"/>
        </w:rPr>
      </w:pPr>
      <w:r>
        <w:rPr>
          <w:rFonts w:hint="eastAsia" w:ascii="仿宋_GB2312" w:hAnsi="仿宋_GB2312" w:eastAsia="仿宋_GB2312" w:cs="仿宋_GB2312"/>
          <w:b/>
          <w:color w:val="auto"/>
          <w:kern w:val="1"/>
          <w:sz w:val="36"/>
          <w:szCs w:val="36"/>
          <w:highlight w:val="none"/>
        </w:rPr>
        <w:t>项目库编号：</w:t>
      </w:r>
      <w:r>
        <w:rPr>
          <w:rFonts w:hint="eastAsia" w:ascii="仿宋_GB2312" w:hAnsi="仿宋_GB2312" w:eastAsia="仿宋_GB2312" w:cs="仿宋_GB2312"/>
          <w:b/>
          <w:color w:val="auto"/>
          <w:kern w:val="1"/>
          <w:sz w:val="36"/>
          <w:szCs w:val="36"/>
          <w:highlight w:val="none"/>
          <w:u w:val="single"/>
        </w:rPr>
        <w:t xml:space="preserve"> </w:t>
      </w:r>
      <w:r>
        <w:rPr>
          <w:rFonts w:hint="eastAsia" w:ascii="仿宋_GB2312" w:hAnsi="仿宋_GB2312" w:eastAsia="仿宋_GB2312" w:cs="仿宋_GB2312"/>
          <w:b/>
          <w:color w:val="auto"/>
          <w:kern w:val="1"/>
          <w:sz w:val="36"/>
          <w:szCs w:val="36"/>
          <w:highlight w:val="none"/>
          <w:u w:val="single"/>
          <w:lang w:val="en-US" w:eastAsia="zh-CN"/>
        </w:rPr>
        <w:t xml:space="preserve"> </w:t>
      </w:r>
      <w:r>
        <w:rPr>
          <w:rFonts w:hint="default" w:ascii="仿宋_GB2312" w:hAnsi="仿宋_GB2312" w:eastAsia="仿宋_GB2312" w:cs="仿宋_GB2312"/>
          <w:b/>
          <w:bCs/>
          <w:color w:val="auto"/>
          <w:sz w:val="36"/>
          <w:szCs w:val="36"/>
          <w:highlight w:val="none"/>
          <w:u w:val="single"/>
          <w:lang w:val="en-US" w:eastAsia="zh-CN"/>
        </w:rPr>
        <w:t xml:space="preserve">            </w:t>
      </w:r>
      <w:r>
        <w:rPr>
          <w:rFonts w:hint="eastAsia" w:ascii="仿宋_GB2312" w:hAnsi="仿宋_GB2312" w:eastAsia="仿宋_GB2312" w:cs="仿宋_GB2312"/>
          <w:b/>
          <w:color w:val="auto"/>
          <w:kern w:val="1"/>
          <w:sz w:val="36"/>
          <w:szCs w:val="36"/>
          <w:highlight w:val="none"/>
          <w:u w:val="single"/>
          <w:lang w:val="en-US" w:eastAsia="zh-CN"/>
        </w:rPr>
        <w:t xml:space="preserve"> </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塔城市阿西尔乡</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202</w:t>
      </w:r>
      <w:r>
        <w:rPr>
          <w:rFonts w:hint="default" w:ascii="仿宋_GB2312" w:hAnsi="仿宋_GB2312" w:eastAsia="仿宋_GB2312" w:cs="仿宋_GB2312"/>
          <w:b/>
          <w:bCs/>
          <w:color w:val="auto"/>
          <w:sz w:val="36"/>
          <w:szCs w:val="36"/>
          <w:highlight w:val="none"/>
          <w:lang w:val="en-US" w:eastAsia="zh-CN"/>
        </w:rPr>
        <w:t>3</w:t>
      </w:r>
      <w:r>
        <w:rPr>
          <w:rFonts w:hint="eastAsia" w:ascii="仿宋_GB2312" w:hAnsi="仿宋_GB2312" w:eastAsia="仿宋_GB2312" w:cs="仿宋_GB2312"/>
          <w:b/>
          <w:bCs/>
          <w:color w:val="auto"/>
          <w:sz w:val="36"/>
          <w:szCs w:val="36"/>
          <w:highlight w:val="none"/>
        </w:rPr>
        <w:t>年度</w:t>
      </w:r>
      <w:r>
        <w:rPr>
          <w:rFonts w:hint="eastAsia" w:ascii="仿宋_GB2312" w:hAnsi="仿宋_GB2312" w:eastAsia="仿宋_GB2312" w:cs="仿宋_GB2312"/>
          <w:b/>
          <w:bCs/>
          <w:color w:val="auto"/>
          <w:sz w:val="36"/>
          <w:szCs w:val="36"/>
          <w:highlight w:val="none"/>
          <w:lang w:eastAsia="zh-CN"/>
        </w:rPr>
        <w:t>阿西尔乡一棵树村渠道建设项目</w:t>
      </w:r>
    </w:p>
    <w:p>
      <w:pPr>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实施方案</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Style w:val="2"/>
        <w:pageBreakBefore w:val="0"/>
        <w:kinsoku/>
        <w:wordWrap/>
        <w:overflowPunct/>
        <w:topLinePunct w:val="0"/>
        <w:autoSpaceDE/>
        <w:autoSpaceDN/>
        <w:bidi w:val="0"/>
        <w:adjustRightInd/>
        <w:snapToGrid/>
        <w:spacing w:line="560" w:lineRule="exact"/>
        <w:textAlignment w:val="auto"/>
        <w:rPr>
          <w:color w:val="auto"/>
          <w:highlight w:val="none"/>
        </w:rPr>
      </w:pPr>
    </w:p>
    <w:p>
      <w:pPr>
        <w:rPr>
          <w:highlight w:val="none"/>
        </w:rPr>
      </w:pPr>
    </w:p>
    <w:p>
      <w:pPr>
        <w:pStyle w:val="2"/>
        <w:rPr>
          <w:highlight w:val="none"/>
        </w:rPr>
      </w:pPr>
    </w:p>
    <w:p>
      <w:pPr>
        <w:rPr>
          <w:highlight w:val="none"/>
        </w:rPr>
      </w:pPr>
    </w:p>
    <w:p>
      <w:pPr>
        <w:pStyle w:val="2"/>
        <w:rPr>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项目名称：</w:t>
      </w:r>
      <w:r>
        <w:rPr>
          <w:rFonts w:hint="eastAsia" w:ascii="仿宋_GB2312" w:hAnsi="仿宋_GB2312" w:eastAsia="仿宋_GB2312" w:cs="仿宋_GB2312"/>
          <w:b/>
          <w:bCs/>
          <w:color w:val="auto"/>
          <w:sz w:val="36"/>
          <w:szCs w:val="36"/>
          <w:highlight w:val="none"/>
          <w:lang w:eastAsia="zh-CN"/>
        </w:rPr>
        <w:t>阿西尔乡一棵树村渠道建设项目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主管单位：塔城市</w:t>
      </w:r>
      <w:r>
        <w:rPr>
          <w:rFonts w:hint="eastAsia" w:ascii="仿宋_GB2312" w:hAnsi="仿宋_GB2312" w:eastAsia="仿宋_GB2312" w:cs="仿宋_GB2312"/>
          <w:b/>
          <w:bCs/>
          <w:color w:val="auto"/>
          <w:sz w:val="36"/>
          <w:szCs w:val="36"/>
          <w:highlight w:val="none"/>
          <w:lang w:val="en-US" w:eastAsia="zh-CN"/>
        </w:rPr>
        <w:t>乡村振兴局</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项目实施单位：阿西尔乡人民政府</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编制时间：202</w:t>
      </w:r>
      <w:r>
        <w:rPr>
          <w:rFonts w:hint="eastAsia" w:ascii="仿宋_GB2312" w:hAnsi="仿宋_GB2312" w:eastAsia="仿宋_GB2312" w:cs="仿宋_GB2312"/>
          <w:b/>
          <w:bCs/>
          <w:color w:val="auto"/>
          <w:sz w:val="36"/>
          <w:szCs w:val="36"/>
          <w:highlight w:val="none"/>
          <w:lang w:val="en-US" w:eastAsia="zh-CN"/>
        </w:rPr>
        <w:t>3</w:t>
      </w:r>
      <w:r>
        <w:rPr>
          <w:rFonts w:hint="eastAsia" w:ascii="仿宋_GB2312" w:hAnsi="仿宋_GB2312" w:eastAsia="仿宋_GB2312" w:cs="仿宋_GB2312"/>
          <w:b/>
          <w:bCs/>
          <w:color w:val="auto"/>
          <w:sz w:val="36"/>
          <w:szCs w:val="36"/>
          <w:highlight w:val="none"/>
        </w:rPr>
        <w:t>年</w:t>
      </w:r>
      <w:r>
        <w:rPr>
          <w:rFonts w:hint="eastAsia" w:ascii="仿宋_GB2312" w:hAnsi="仿宋_GB2312" w:eastAsia="仿宋_GB2312" w:cs="仿宋_GB2312"/>
          <w:b/>
          <w:bCs/>
          <w:color w:val="auto"/>
          <w:sz w:val="36"/>
          <w:szCs w:val="36"/>
          <w:highlight w:val="none"/>
          <w:lang w:val="en-US" w:eastAsia="zh-CN"/>
        </w:rPr>
        <w:t>10</w:t>
      </w:r>
      <w:r>
        <w:rPr>
          <w:rFonts w:hint="eastAsia" w:ascii="仿宋_GB2312" w:hAnsi="仿宋_GB2312" w:eastAsia="仿宋_GB2312" w:cs="仿宋_GB2312"/>
          <w:b/>
          <w:bCs/>
          <w:color w:val="auto"/>
          <w:sz w:val="36"/>
          <w:szCs w:val="36"/>
          <w:highlight w:val="none"/>
        </w:rPr>
        <w:t>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1.基本情况</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1.1项目库编号</w:t>
      </w:r>
      <w:r>
        <w:rPr>
          <w:rFonts w:hint="eastAsia" w:ascii="仿宋_GB2312" w:hAnsi="仿宋_GB2312" w:eastAsia="仿宋_GB2312" w:cs="仿宋_GB2312"/>
          <w:b/>
          <w:bCs/>
          <w:color w:val="auto"/>
          <w:sz w:val="32"/>
          <w:szCs w:val="32"/>
          <w:highlight w:val="none"/>
          <w:lang w:eastAsia="zh-CN"/>
        </w:rPr>
        <w:t>：</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1.2项目名称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阿西尔乡一棵树村渠道建设项目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1.3项目主管单位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塔城市</w:t>
      </w:r>
      <w:r>
        <w:rPr>
          <w:rFonts w:hint="eastAsia" w:ascii="仿宋_GB2312" w:hAnsi="仿宋_GB2312" w:eastAsia="仿宋_GB2312" w:cs="仿宋_GB2312"/>
          <w:color w:val="auto"/>
          <w:sz w:val="32"/>
          <w:szCs w:val="32"/>
          <w:highlight w:val="none"/>
          <w:lang w:val="en-US" w:eastAsia="zh-CN"/>
        </w:rPr>
        <w:t>乡村振兴局</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1.4项目实施单位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阿西尔乡人民政府   </w:t>
      </w:r>
      <w:r>
        <w:rPr>
          <w:rFonts w:hint="eastAsia" w:ascii="仿宋_GB2312" w:hAnsi="仿宋_GB2312" w:eastAsia="仿宋_GB2312" w:cs="仿宋_GB2312"/>
          <w:color w:val="auto"/>
          <w:sz w:val="32"/>
          <w:szCs w:val="32"/>
          <w:highlight w:val="none"/>
          <w:lang w:val="en-US" w:eastAsia="zh-CN"/>
        </w:rPr>
        <w:t>袁浩</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1.5项目建设性质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新建</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1.6项目类别</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基础设施建设</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1.7 项目建设内容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建设渠道4公里、闸门3处及附属设施，其中上宽2.25米，渠深0.55米，下宽0.6米建设1.6公里，上宽2米，渠深0.50米，下宽0.6米，建设1.4公里，上宽2.4米、渠深0.6，下宽0.6米，建设1公里，桥涵一座（长5米，宽8米）及附属设施（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1.8项目补助标准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无</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1.9项目</w:t>
      </w:r>
      <w:r>
        <w:rPr>
          <w:rFonts w:hint="eastAsia" w:ascii="仿宋_GB2312" w:hAnsi="仿宋_GB2312" w:eastAsia="仿宋_GB2312" w:cs="仿宋_GB2312"/>
          <w:b/>
          <w:bCs/>
          <w:color w:val="auto"/>
          <w:sz w:val="32"/>
          <w:szCs w:val="32"/>
          <w:highlight w:val="none"/>
          <w:lang w:val="en-US" w:eastAsia="zh-CN"/>
        </w:rPr>
        <w:t>预计</w:t>
      </w:r>
      <w:r>
        <w:rPr>
          <w:rFonts w:hint="eastAsia" w:ascii="仿宋_GB2312" w:hAnsi="仿宋_GB2312" w:eastAsia="仿宋_GB2312" w:cs="仿宋_GB2312"/>
          <w:b/>
          <w:bCs/>
          <w:color w:val="auto"/>
          <w:sz w:val="32"/>
          <w:szCs w:val="32"/>
          <w:highlight w:val="none"/>
        </w:rPr>
        <w:t>建设期限</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预计</w:t>
      </w:r>
      <w:r>
        <w:rPr>
          <w:rFonts w:hint="eastAsia" w:ascii="仿宋_GB2312" w:hAnsi="仿宋_GB2312" w:eastAsia="仿宋_GB2312" w:cs="仿宋_GB2312"/>
          <w:color w:val="auto"/>
          <w:sz w:val="32"/>
          <w:szCs w:val="32"/>
          <w:highlight w:val="none"/>
        </w:rPr>
        <w:t>开工时间：</w:t>
      </w:r>
      <w:r>
        <w:rPr>
          <w:rFonts w:hint="eastAsia" w:ascii="仿宋_GB2312" w:hAnsi="仿宋_GB2312" w:eastAsia="仿宋_GB2312" w:cs="仿宋_GB2312"/>
          <w:color w:val="auto"/>
          <w:sz w:val="32"/>
          <w:szCs w:val="32"/>
          <w:highlight w:val="none"/>
          <w:lang w:val="en-US" w:eastAsia="zh-CN"/>
        </w:rPr>
        <w:t>2024年4月1日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预计</w:t>
      </w:r>
      <w:r>
        <w:rPr>
          <w:rFonts w:hint="eastAsia" w:ascii="仿宋_GB2312" w:hAnsi="仿宋_GB2312" w:eastAsia="仿宋_GB2312" w:cs="仿宋_GB2312"/>
          <w:color w:val="auto"/>
          <w:sz w:val="32"/>
          <w:szCs w:val="32"/>
          <w:highlight w:val="none"/>
        </w:rPr>
        <w:t>完工时间：</w:t>
      </w:r>
      <w:r>
        <w:rPr>
          <w:rFonts w:hint="eastAsia" w:ascii="仿宋_GB2312" w:hAnsi="仿宋_GB2312" w:eastAsia="仿宋_GB2312" w:cs="仿宋_GB2312"/>
          <w:color w:val="auto"/>
          <w:sz w:val="32"/>
          <w:szCs w:val="32"/>
          <w:highlight w:val="none"/>
          <w:lang w:val="en-US" w:eastAsia="zh-CN"/>
        </w:rPr>
        <w:t>2024年10月1日</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1.10项目建设地点及基本情况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阿西尔乡一棵树村位于阿西尔乡驻地西南12公里，全村户籍人口302户840人，其中，常住人口152户346人，两栖户98户256人，由汉族、达斡尔族、哈萨克族、俄罗斯族、锡伯族、蒙古族、侗族等7个民族组成。村级活动阵地0.06公顷，其中村级文化室0.03公顷。全村党员63名，其中预备党员3名，五类党员9名。四老人员8名、低保户17户20人、残疾人21人。全村耕地1618.49公顷，其中机动地408.53公顷，林带面积171.4公顷，主要种植农作物以玉米、小麦为主。2022年村集体收入271.2万元，人均年收入26287元。所获荣誉：2015年自治区文明村队、2019年塔城市先进基层党组织、2022年塔城市民族团结先进单位，2019--2021年塔城地区五四红旗团支部。</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2.项目立项情况</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2.1项目建设依据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 xml:space="preserve"> （1）《中华人民共和国村庄和集镇规模建设管理条例》；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（3）《全国农村环境综合整治规划（2010-2015年）》；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（4）《农村整治技术规范》（GB50445~2008）；</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（5）《城市环境卫生设施设置标准》CJJ27-2012；</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（6）《中华人民共和国招标投标法》；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（7）《中华人民共和国监理法》和建设部2003年《工程质量建设标准》（强制部分）；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（8）国家发改委[2006]编制的《建设项目经济评价方法与参数》（第三版）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2.2立项批复的建设内容及规模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建设渠道4公里、闸门3处及附属设施，其中上宽2.25米，渠深0.55米，下宽0.6米建设1.6公里，上宽2米，渠深0.50米，下宽0.6米，建设1.4公里，上宽2.4米、渠深0.6，下宽0.6米，建设1公里，桥涵一座（长5米，宽8米）及附属设施（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2.3项目建设的必要性和可行性</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本项目建成后将提高</w:t>
      </w:r>
      <w:r>
        <w:rPr>
          <w:rFonts w:hint="eastAsia" w:ascii="仿宋_GB2312" w:hAnsi="仿宋_GB2312" w:eastAsia="仿宋_GB2312" w:cs="仿宋_GB2312"/>
          <w:color w:val="auto"/>
          <w:sz w:val="32"/>
          <w:szCs w:val="32"/>
          <w:highlight w:val="none"/>
          <w:lang w:eastAsia="zh-CN"/>
        </w:rPr>
        <w:t>一棵树村</w:t>
      </w:r>
      <w:r>
        <w:rPr>
          <w:rFonts w:hint="eastAsia" w:ascii="仿宋_GB2312" w:hAnsi="仿宋_GB2312" w:eastAsia="仿宋_GB2312" w:cs="仿宋_GB2312"/>
          <w:color w:val="auto"/>
          <w:sz w:val="32"/>
          <w:szCs w:val="32"/>
          <w:highlight w:val="none"/>
        </w:rPr>
        <w:t>基础设施建设步伐，加快当地社会主义新农村建设步伐，为改善农牧民生活质量，促进村物质文明、精神文明、政治文明、生态文明和构建社会主义和谐社会，对社会主义新农村和全面建成小康社会奠定坚实的基础，推动经济发展具有重要意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因此</w:t>
      </w:r>
      <w:r>
        <w:rPr>
          <w:rFonts w:hint="eastAsia" w:ascii="仿宋_GB2312" w:hAnsi="仿宋_GB2312" w:eastAsia="仿宋_GB2312" w:cs="仿宋_GB2312"/>
          <w:color w:val="auto"/>
          <w:sz w:val="32"/>
          <w:szCs w:val="32"/>
          <w:highlight w:val="none"/>
          <w:lang w:eastAsia="zh-CN"/>
        </w:rPr>
        <w:t>阿西尔乡一棵树村渠道建设项目</w:t>
      </w:r>
      <w:r>
        <w:rPr>
          <w:rFonts w:hint="eastAsia" w:ascii="仿宋_GB2312" w:hAnsi="仿宋_GB2312" w:eastAsia="仿宋_GB2312" w:cs="仿宋_GB2312"/>
          <w:color w:val="auto"/>
          <w:sz w:val="32"/>
          <w:szCs w:val="32"/>
          <w:highlight w:val="none"/>
        </w:rPr>
        <w:t>是可行的也是必要的。</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2.4综合条件评价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项目建设场地周围无环境特别敏感目标，因此只要在设计中切实深化环境保护设计，建设中全面落实各项缓解污染影响的对策措施，加强施工监理，把好环境保护验收关，建成后对附近的环境敏感目标不会产生明显影响，因此本工程从环境保护角度来说是可行的。该项目的建设应根据环保部门的审批文件要求，严格执行“配套的环境保护设施与主体工程同时设计、同时施工、同时投入使用”的环境保护“三同时”制度。环保投资必须落实，并专款专用，切实做好配套建设污染治理工程，保证环保措施的实施，以利于项目的可持续发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2.5施工设计（设计或技术方案）</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制订方案首先必须从实际出发，切实可行，符合现场的实际情况，有实现的可能性。制订方案在资源、技术上提出的要求应该与当时已有的条件或在一定时间能争取到的条件相吻合，否则是不能实现的，因此只有在切实可行的范围内尽量求其先进和快速。</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2）满足合同要求的工期，就是按工期要求投入生产，交付使用，发挥技资效益，这对国民经济的发展具有重大的意义。所以在制订施工方案时，必须保证在竣工时间上符合合同的要求，并能争取提前完成。为此，在施工组织上要统筹安排，均衡施工，在技术上尽可能地采用先进的施工技术、施工工艺、新材料，在管理上采用现代化的管理方法进行动态管理和控制。</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3）确保工程质量和施工安全。工程建设是百年大计，要求质量第一，保证施工安全是社会的要求。因此，在制订方案时应充分考虑工程质量和施工安全，并提出保证工程质量和施工安全的技术组织措施，使方案完全符合技术规范、操作规范和安全规程的要求。</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4）在合同价控制下，尽量降低施工成本，使方案更加经济合理，增加施工生产的盈利。从施工成本的直接费（人工、材料、机具、设备、周转性材料等）和间接费中找出节约的途径，采取措施控制直接消耗，减少非生产人员。</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3.1项目设计（技术依据）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（1）《中华人民共和国村庄和集镇规模建设管理条例》；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（3）《全国农村环境综合整治规划（2010-2015年）》；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（4）《农村整治技术规范》（GB50445~2008）；</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（5）《城市环境卫生设施设置标准》CJJ27-2012；</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（6）《中华人民共和国招标投标法》；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（7）《中华人民共和国监理法》和建设部2003年《工程质量建设标准》（强制部分）；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（8）国家发改委[2006]编制的《建设项目经济评价方法与参数》（第三版）；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（9）《塔城市总体规划（2011-2030年）》；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（10）《塔城市乡村庄规划》</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3.2工程任务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建设渠道4公里、闸门3处及附属设施，其中上宽2.25米，渠深0.55米，下宽0.6米建设1.6公里，上宽2米，渠深0.50米，下宽0.6米，建设1.4公里，上宽2.4米、渠深0.6，下宽0.6米，建设1公里，桥涵一座（长5米，宽8米）及附属设施（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建设内容、规模、标准、投资设计等明细资料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建设渠道4公里、闸门3处及附属设施，其中上宽2.25米，渠深0.55米，下宽0.6米建设1.6公里，上宽2米，渠深0.50米，下宽0.6米，建设1.4公里，上宽2.4米、渠深0.6，下宽0.6米，建设1公里，桥涵一座（长5米，宽8米）及附属设施（以设计为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施工条件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自阿西尔乡村主干道可直达各乡村，交通方便，主要外购建材均可顺利运往现场。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施工用水可从附近渠道拉运，供电采用自备电源。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建筑材料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(1)外购材料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工程中水泥、木材及其它材料、机电设备、施工机具、配件器材等物资主要靠塔城市供应，平均运距25km；柴油、汽油由距离项目区最近加油站供给。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(2)天然建筑材料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项目区周围无天然建筑材料分布，从塔城市周边砂石料场购买。所需要的填筑土料沿渠线就地取土，填筑土料属于四类土。</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施工总布置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本工程通过踏勘现场及对施工环境、施工条件的调查了解，在保证工期、质量、安全的前提下，在临时工程总体布置中遵循以下原则：临时工程以不影响当地居民的正常生活为前提，尽可能为当地居民提供方便，整个施工总体布置应满足环保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（2）施工场地布置，应遵循因地制宜，尽量不破坏生态环境的原则。根据本项目渠线长，面积广的特点，为方便施工具体布置施工场地1个，场地已经形成不需要平整。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 xml:space="preserve"> 施工方法与要求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①管沟开挖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管沟开挖前应将管道主要控制桩平移至管沟旁较安全(不易扰动)的地方，管沟采用挖掘机开挖，并配少量人工整平管沟，一般情况下一次开挖成形。</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②土方回填</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原土回填，采用机械为主，人工为辅。</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4.投资概算和资金筹措</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4.1项目总投资：</w:t>
      </w:r>
      <w:r>
        <w:rPr>
          <w:rFonts w:hint="eastAsia" w:ascii="仿宋_GB2312" w:hAnsi="仿宋_GB2312" w:eastAsia="仿宋_GB2312" w:cs="仿宋_GB2312"/>
          <w:b/>
          <w:bCs/>
          <w:color w:val="auto"/>
          <w:sz w:val="32"/>
          <w:szCs w:val="32"/>
          <w:highlight w:val="none"/>
          <w:lang w:val="en-US" w:eastAsia="zh-CN"/>
        </w:rPr>
        <w:t>180万元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投资是由哪些具体内容构成的。列表测算或按建设内容逐项 测算，要分标准、分项目明确价格、人工、材料等费用。投资概算要清晰、准确，列出工程量清单、单价及明细表，以可进行预算评审为标准。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4.2资金筹措</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项目投资：</w:t>
      </w:r>
      <w:r>
        <w:rPr>
          <w:rFonts w:hint="eastAsia" w:ascii="仿宋_GB2312" w:hAnsi="仿宋_GB2312" w:eastAsia="仿宋_GB2312" w:cs="仿宋_GB2312"/>
          <w:color w:val="auto"/>
          <w:sz w:val="32"/>
          <w:szCs w:val="32"/>
          <w:highlight w:val="none"/>
          <w:lang w:val="en-US" w:eastAsia="zh-CN"/>
        </w:rPr>
        <w:t>1</w:t>
      </w:r>
      <w:bookmarkStart w:id="0" w:name="_GoBack"/>
      <w:bookmarkEnd w:id="0"/>
      <w:r>
        <w:rPr>
          <w:rFonts w:hint="eastAsia" w:ascii="仿宋_GB2312" w:hAnsi="仿宋_GB2312" w:eastAsia="仿宋_GB2312" w:cs="仿宋_GB2312"/>
          <w:color w:val="auto"/>
          <w:sz w:val="32"/>
          <w:szCs w:val="32"/>
          <w:highlight w:val="none"/>
          <w:lang w:val="en-US" w:eastAsia="zh-CN"/>
        </w:rPr>
        <w:t>80万元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中央衔接资金</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4.3资金使用和管理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资金使用和管理应按照《关于</w:t>
      </w:r>
      <w:r>
        <w:rPr>
          <w:rFonts w:hint="eastAsia" w:ascii="仿宋_GB2312" w:hAnsi="仿宋_GB2312" w:eastAsia="仿宋_GB2312" w:cs="仿宋_GB2312"/>
          <w:color w:val="auto"/>
          <w:sz w:val="32"/>
          <w:szCs w:val="32"/>
          <w:highlight w:val="none"/>
          <w:lang w:val="en-US" w:eastAsia="zh-CN"/>
        </w:rPr>
        <w:t>印发《新疆维吾尔自治区财政衔接推进乡村振兴补助资金（巩固拓展脱贫攻坚成果和乡村振兴任务）项目管理办法（暂行）》的通知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新乡振</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2号等相关文件要求。项目实施单位依据项目计划和实施进度,提出支付申请并提供相关真实、合规的证明材料，制定资金使用计划，经审核后按照国库集中支付管理制度的规定和程序及时支付资金。从国库直接支付到</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项目承担的企业、商户或个人。严格执行专款专用，杜绝挤占、挪用项目资金，严禁虚列支出、以拨代支虚增项目进度。项目资金支付后,在审计或检查中发现资金使用存在违法违规问题的，应及时追回、收回。</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对资金使用严格监管，防止资金使用不精准、虚报冒领。为加快资金支出进度，</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项目可实行预付款制，预付资金总额合计原则上不超过应付该项目资金总额的50%，其中：基础建设类项目预付资金原则上不超过合同金额的30%。</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5.项目实施保障措施</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5.1组织领导机构</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项目主管单位为塔城市</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开发领导小组办公室；</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项目实施单位为塔城市阿西尔乡人民政府，为确保项目顺利实施，成立了</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项目实施领导小组：</w:t>
      </w:r>
    </w:p>
    <w:p>
      <w:pPr>
        <w:pStyle w:val="4"/>
        <w:pageBreakBefore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组  长：袁  浩     党委书记</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德元娜     党委副书记、政府乡长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副组长：白  剑     党委委员、人大主席</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毕兆龙     党委副书记、政法委员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范晓军     党委副书记、宣传委员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张文燕     党委委员、纪委书记</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周  琪     党委委员、组织委员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于德任     党委委员、统战委员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高  伟     党委委员、武装部长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乌尔肯     政府副乡长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张  田     政府副乡长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朱思帆    政府副乡长</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黄新建     主任科员</w:t>
      </w:r>
    </w:p>
    <w:p>
      <w:pPr>
        <w:pStyle w:val="4"/>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组  员：有乡村振兴任务村队党支部书记、村主任</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领导小组下设办公室，办公室设在乡项目办公室，办公室主任由于德任同志兼任。</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5.2技术保障措施</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5.2.1进度的组织措施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劳动力的投入是保证工期关键，因此当本工程的工作面一旦形成，立即按序调集劳动力，并按据工程进度安排，全体施工人员与管理人员取消节假日、休息日。各类机械设备必须专人操作、保管、维修，确保正常使用，以满足施工进度的实际需要，这是保证工期的必备条件。</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5.2.2管理措施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工程实施中，以合同为依据，自始至终贯彻执行到施工管理全过程，确保工程优质如期完成。以合同规定的承包施工范围的工程质量、工期、安全、文明施工等要求为原则，项目部编制详细、完善的施工组织设计，经监理单位审核后，进行实施。以合同规定的总工期要求，项目部根据现场实际情况编制本工程施工总进度网络计划，以此有效地对工程进度进行总控制。以总工期为依据，项目部根据现场实际情况编制分阶段实施计划（施工准备计划；人员进场计划；施工材料、设备、机具进场计划、分项分部施工进度计划等）。将合同的条款要求，分解纳入相对的分包合同中，对质量、工期、安全、文明施工等安全处于承包控制范围之中，确保工程如期完成。施工过程中各类工作联系，除必要口头通知外，项目部一律以书面指示，及时发给各工作组执行。</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5.2.3材料供应措施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计划及时准确，关系到工程进度的顺利进行；也能充分发挥资金效益。因此，高度重视此项工作，在资料的打印、传递方面严肃认真。</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在时间及数量上慎之又慎，决不因为我方工作而造成供料混乱。此项工作的落实，对各级管理人员制定岗位责任制，选派具有业务素质高、责任心强的专业材料员来担任此项工作。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设置专人对已装和未装的设备保管，建立专职保管员及完整的领用手续，保证供应的设备及材料不丢失，不浪费。</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材料的组织供应是项目部物资管理的中心任务，供应质量的优劣与供应速度的及时准确与否是关系到项目部各项工作能否顺利进行的决定因素，所以在做好日常工作管理方面重点抓好如下几点：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加强材料计划的及时性、准确性、严肃性：项目部将执行规范化的计划编制、审核、采购制度，做到供应工作的不同阶段不同的人负责，坚决杜绝计划盲目性，铺张浪费的不严肃工作作风。</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采购成本的控制：在保证质量、数量供货及时的基础上，降低采购成本是提高项目施工效益的重点环节。任何用于工程的材料采购必须要有经项目经理审批后的采购通知单及严格的验收入库制度，采购员不得接受任何人随意的采购指令。</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审批的环节：项目部在做好自身计划的审批工作的基础上，同时也做好对甲方的报批工作，对实行调整的大宗材料应事先报送甲方进行价格厂家的审批，在审批的基础上进行采购。未经审批的材料决不自行采购。</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保管、及时回收：材料的保管、领用工作是保证材料供应不乱的基础，项目部坚决执行限额领料制度，凭计划发料，在保管工作上配备专业的保管工人，保证施工材料不受损。同时做好材料的回收利用，做到能使用的决不浪费。</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5.2.4资金保证措施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项目财力的合理使用是工程按进度计划顺利施工的保障，做好项目成本的控制和使用是项目降低成本、提高综合效益的基础。</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合理收取工程款：严格遵照合同条款中有关付款的条文，根据要求提供必要的付款依据，请甲方审核。</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合理使用工程款：保证项目的资金使用是保证工程顺利进行的先决条件。为此公司在资金使用上坚决做到专款专用，不属于本工程使用的资金决不占用。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合理调度工程款：若甲方按合同规定资金一时不能到位，则不能因此而拖延工期或影响工程质量，我方将千方百计调度项目外资金确保工程顺利进行，同时这也是我公司为业务服务的一种真诚体现。</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5.2.5工程检查措施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日检查工作制：专业施工员是施工技术、进度、质量的主要负责人，建立以专业施工点为主的计划执行系与施工员为主的计划检查系这一对立统一的工作关系，是保证项目进度计划的重要方法。施工员每日进行现场检查，并将检查的结果每日以书面的形式汇报项目经理，以便及时了解施工动态，监督和督促各施工班组按计划完成工作，及时进行必要的调整。</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日志：施工日志是项目施工中每一天所发生有关事宜的真实记录，也是项目日常管理的工作要点。由专业施工员对每日发生的事宜及有关工程的情况按施工日志的要求真实填写汇总，书面报送项目经理及资料存档。</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5.2.6施工进度保证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及时调配生产机具，以及设备、材料供应，若项目无法调配将及时汇报公司设备供应部门，及时调整和补充施工机械或业务人员。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及时改进施工技术，决不因技术措施不适用或不合理造成施工的浪费和返工。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调整进度计划：由于外部因素影响造成进度无法实施或是计划与现场状况不符，就应及时调整进度计划，同时也要及时积极的进行施工协调。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质量跟踪检查：项目部质量检查员每日对施工班组所施工的内容进行检查，发现质量问题及时签发整改单，并每日将检查结果汇报项目技术负责人，把质量问题消除在过程中，决不因质量问题造成返工，从而影响工程进度计划。</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利用现代科学手段，采用计算机项目管理系统对工程进行动态管理。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5.</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验收管理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根据相关文件要求，坚持项目竣工验收制度，遵照属地管理、“谁审批、谁验收”的原则。按照村、乡、县三个级别逐级开展验收工作。</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运营模式和运营管理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根据项目竣工后</w:t>
      </w: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按照“谁使用、谁管理、谁负责”的原则，做好产权移交工作。项目竣工验收后，及时移交使用村，由村进行项目后期管护，并与村签订资产移交及后期管护责任书，成立以村主任牵头的管护小组，管护小组成员必须坚守岗位，尽职尽责，保证项目完好。对发现损坏项目者，进行严格的思想教育，视情节轻重，给予批评教育或经济制裁，直至追究法律责任。</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带贫减贫益贫机制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通过项目的实施对村内农牧民生产生活提供便利，有助于增加收入，防止返贫。为村队发展带来一系列经济、社会效益。</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6.项目实施进度</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6.1项目实施进度计划</w:t>
      </w:r>
    </w:p>
    <w:tbl>
      <w:tblPr>
        <w:tblStyle w:val="7"/>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3078"/>
        <w:gridCol w:w="1464"/>
        <w:gridCol w:w="1435"/>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27" w:type="dxa"/>
            <w:vMerge w:val="restart"/>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3078" w:type="dxa"/>
            <w:vMerge w:val="restart"/>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项目阶段</w:t>
            </w:r>
          </w:p>
        </w:tc>
        <w:tc>
          <w:tcPr>
            <w:tcW w:w="4224" w:type="dxa"/>
            <w:gridSpan w:val="3"/>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027"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3078"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64"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20"/>
                <w:sz w:val="32"/>
                <w:szCs w:val="32"/>
                <w:highlight w:val="none"/>
                <w:lang w:eastAsia="zh-CN"/>
              </w:rPr>
            </w:pPr>
            <w:r>
              <w:rPr>
                <w:rFonts w:hint="eastAsia" w:ascii="仿宋_GB2312" w:hAnsi="仿宋_GB2312" w:eastAsia="仿宋_GB2312" w:cs="仿宋_GB2312"/>
                <w:color w:val="auto"/>
                <w:spacing w:val="-20"/>
                <w:sz w:val="32"/>
                <w:szCs w:val="32"/>
                <w:highlight w:val="none"/>
                <w:lang w:val="en-US" w:eastAsia="zh-CN"/>
              </w:rPr>
              <w:t>4</w:t>
            </w:r>
          </w:p>
        </w:tc>
        <w:tc>
          <w:tcPr>
            <w:tcW w:w="143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5-9</w:t>
            </w:r>
          </w:p>
        </w:tc>
        <w:tc>
          <w:tcPr>
            <w:tcW w:w="132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前期阶段</w:t>
            </w:r>
          </w:p>
        </w:tc>
        <w:tc>
          <w:tcPr>
            <w:tcW w:w="1464" w:type="dxa"/>
            <w:vMerge w:val="restart"/>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213360</wp:posOffset>
                      </wp:positionV>
                      <wp:extent cx="647700" cy="8890"/>
                      <wp:effectExtent l="0" t="13970" r="7620" b="22860"/>
                      <wp:wrapNone/>
                      <wp:docPr id="310" name="Line 10"/>
                      <wp:cNvGraphicFramePr/>
                      <a:graphic xmlns:a="http://schemas.openxmlformats.org/drawingml/2006/main">
                        <a:graphicData uri="http://schemas.microsoft.com/office/word/2010/wordprocessingShape">
                          <wps:wsp>
                            <wps:cNvCnPr>
                              <a:cxnSpLocks noChangeShapeType="1"/>
                            </wps:cNvCnPr>
                            <wps:spPr bwMode="auto">
                              <a:xfrm>
                                <a:off x="0" y="0"/>
                                <a:ext cx="647700" cy="8890"/>
                              </a:xfrm>
                              <a:prstGeom prst="line">
                                <a:avLst/>
                              </a:prstGeom>
                              <a:noFill/>
                              <a:ln w="28575">
                                <a:solidFill>
                                  <a:srgbClr val="000000"/>
                                </a:solidFill>
                                <a:round/>
                              </a:ln>
                            </wps:spPr>
                            <wps:bodyPr/>
                          </wps:wsp>
                        </a:graphicData>
                      </a:graphic>
                    </wp:anchor>
                  </w:drawing>
                </mc:Choice>
                <mc:Fallback>
                  <w:pict>
                    <v:line id="Line 10" o:spid="_x0000_s1026" o:spt="20" style="position:absolute;left:0pt;margin-left:-3.2pt;margin-top:16.8pt;height:0.7pt;width:51pt;z-index:251659264;mso-width-relative:page;mso-height-relative:page;" filled="f" stroked="t" coordsize="21600,21600" o:gfxdata="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HFiNYAAAAHAQAADwAAAAAAAAABACAAAAAiAAAAZHJzL2Rvd25yZXYueG1sUEsBAhQAFAAAAAgA&#10;h07iQNQ3RSW1AQAAVwMAAA4AAAAAAAAAAQAgAAAAJQEAAGRycy9lMm9Eb2MueG1sUEsFBgAAAAAG&#10;AAYAWQEAAEwFAAAAAA==&#10;">
                      <v:fill on="f" focussize="0,0"/>
                      <v:stroke weight="2.25pt" color="#000000" joinstyle="round"/>
                      <v:imagedata o:title=""/>
                      <o:lock v:ext="edit" aspectratio="f"/>
                    </v:line>
                  </w:pict>
                </mc:Fallback>
              </mc:AlternateContent>
            </w: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勘察设计</w:t>
            </w:r>
          </w:p>
        </w:tc>
        <w:tc>
          <w:tcPr>
            <w:tcW w:w="1464"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3078" w:type="dxa"/>
            <w:vAlign w:val="center"/>
          </w:tcPr>
          <w:p>
            <w:pPr>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20"/>
                <w:sz w:val="32"/>
                <w:szCs w:val="32"/>
                <w:highlight w:val="none"/>
              </w:rPr>
            </w:pPr>
            <w:r>
              <w:rPr>
                <w:rFonts w:hint="eastAsia" w:ascii="仿宋_GB2312" w:hAnsi="仿宋_GB2312" w:eastAsia="仿宋_GB2312" w:cs="仿宋_GB2312"/>
                <w:color w:val="auto"/>
                <w:spacing w:val="-20"/>
                <w:sz w:val="32"/>
                <w:szCs w:val="32"/>
                <w:highlight w:val="none"/>
              </w:rPr>
              <w:t>招投标及施工准备阶段</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569595</wp:posOffset>
                      </wp:positionH>
                      <wp:positionV relativeFrom="paragraph">
                        <wp:posOffset>92075</wp:posOffset>
                      </wp:positionV>
                      <wp:extent cx="340360" cy="10160"/>
                      <wp:effectExtent l="635" t="1270" r="9525" b="19050"/>
                      <wp:wrapNone/>
                      <wp:docPr id="311" name="Line 11"/>
                      <wp:cNvGraphicFramePr/>
                      <a:graphic xmlns:a="http://schemas.openxmlformats.org/drawingml/2006/main">
                        <a:graphicData uri="http://schemas.microsoft.com/office/word/2010/wordprocessingShape">
                          <wps:wsp>
                            <wps:cNvCnPr>
                              <a:cxnSpLocks noChangeShapeType="1"/>
                            </wps:cNvCnPr>
                            <wps:spPr bwMode="auto">
                              <a:xfrm flipV="1">
                                <a:off x="0" y="0"/>
                                <a:ext cx="340360" cy="10160"/>
                              </a:xfrm>
                              <a:prstGeom prst="line">
                                <a:avLst/>
                              </a:prstGeom>
                              <a:noFill/>
                              <a:ln w="28575">
                                <a:solidFill>
                                  <a:srgbClr val="000000"/>
                                </a:solidFill>
                                <a:round/>
                              </a:ln>
                            </wps:spPr>
                            <wps:bodyPr/>
                          </wps:wsp>
                        </a:graphicData>
                      </a:graphic>
                    </wp:anchor>
                  </w:drawing>
                </mc:Choice>
                <mc:Fallback>
                  <w:pict>
                    <v:line id="Line 11" o:spid="_x0000_s1026" o:spt="20" style="position:absolute;left:0pt;flip:y;margin-left:44.85pt;margin-top:7.25pt;height:0.8pt;width:26.8pt;z-index:251660288;mso-width-relative:page;mso-height-relative:page;" filled="f" stroked="t" coordsize="21600,21600" o:gfxdata="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FWHD9cAAAAIAQAADwAAAAAAAAABACAAAAAiAAAAZHJzL2Rvd25yZXYueG1sUEsBAhQA&#10;FAAAAAgAh07iQDllmgq6AQAAYgMAAA4AAAAAAAAAAQAgAAAAJgEAAGRycy9lMm9Eb2MueG1sUEsF&#10;BgAAAAAGAAYAWQEAAFIFAAAAAA==&#10;">
                      <v:fill on="f" focussize="0,0"/>
                      <v:stroke weight="2.25pt" color="#000000" joinstyle="round"/>
                      <v:imagedata o:title=""/>
                      <o:lock v:ext="edit" aspectratio="f"/>
                    </v:line>
                  </w:pict>
                </mc:Fallback>
              </mc:AlternateContent>
            </w: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项目施工</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113030</wp:posOffset>
                      </wp:positionV>
                      <wp:extent cx="1266190" cy="19685"/>
                      <wp:effectExtent l="0" t="13970" r="13970" b="27305"/>
                      <wp:wrapNone/>
                      <wp:docPr id="312" name="Line 12"/>
                      <wp:cNvGraphicFramePr/>
                      <a:graphic xmlns:a="http://schemas.openxmlformats.org/drawingml/2006/main">
                        <a:graphicData uri="http://schemas.microsoft.com/office/word/2010/wordprocessingShape">
                          <wps:wsp>
                            <wps:cNvCnPr>
                              <a:cxnSpLocks noChangeShapeType="1"/>
                            </wps:cNvCnPr>
                            <wps:spPr bwMode="auto">
                              <a:xfrm flipV="1">
                                <a:off x="0" y="0"/>
                                <a:ext cx="1266190" cy="19685"/>
                              </a:xfrm>
                              <a:prstGeom prst="line">
                                <a:avLst/>
                              </a:prstGeom>
                              <a:noFill/>
                              <a:ln w="28575">
                                <a:solidFill>
                                  <a:srgbClr val="000000"/>
                                </a:solidFill>
                                <a:round/>
                              </a:ln>
                            </wps:spPr>
                            <wps:bodyPr/>
                          </wps:wsp>
                        </a:graphicData>
                      </a:graphic>
                    </wp:anchor>
                  </w:drawing>
                </mc:Choice>
                <mc:Fallback>
                  <w:pict>
                    <v:line id="Line 12" o:spid="_x0000_s1026" o:spt="20" style="position:absolute;left:0pt;flip:y;margin-left:-1.15pt;margin-top:8.9pt;height:1.55pt;width:99.7pt;z-index:251661312;mso-width-relative:page;mso-height-relative:page;" filled="f" stroked="t" coordsize="21600,21600" o:gfxdata="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Z0zn7XAAAACAEAAA8AAAAAAAAAAQAgAAAAIgAAAGRycy9kb3ducmV2LnhtbFBLAQIU&#10;ABQAAAAIAIdO4kDwgt7puwEAAGMDAAAOAAAAAAAAAAEAIAAAACYBAABkcnMvZTJvRG9jLnhtbFBL&#10;BQYAAAAABgAGAFkBAABTBQAAAAA=&#10;">
                      <v:fill on="f" focussize="0,0"/>
                      <v:stroke weight="2.25pt" color="#000000" joinstyle="round"/>
                      <v:imagedata o:title=""/>
                      <o:lock v:ext="edit" aspectratio="f"/>
                    </v:line>
                  </w:pict>
                </mc:Fallback>
              </mc:AlternateContent>
            </w:r>
          </w:p>
        </w:tc>
        <w:tc>
          <w:tcPr>
            <w:tcW w:w="132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竣工验收</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382905</wp:posOffset>
                      </wp:positionH>
                      <wp:positionV relativeFrom="paragraph">
                        <wp:posOffset>111760</wp:posOffset>
                      </wp:positionV>
                      <wp:extent cx="410210" cy="9525"/>
                      <wp:effectExtent l="0" t="0" r="0" b="0"/>
                      <wp:wrapNone/>
                      <wp:docPr id="313" name="Line 13"/>
                      <wp:cNvGraphicFramePr/>
                      <a:graphic xmlns:a="http://schemas.openxmlformats.org/drawingml/2006/main">
                        <a:graphicData uri="http://schemas.microsoft.com/office/word/2010/wordprocessingShape">
                          <wps:wsp>
                            <wps:cNvCnPr>
                              <a:cxnSpLocks noChangeShapeType="1"/>
                            </wps:cNvCnPr>
                            <wps:spPr bwMode="auto">
                              <a:xfrm flipV="1">
                                <a:off x="0" y="0"/>
                                <a:ext cx="410210" cy="9525"/>
                              </a:xfrm>
                              <a:prstGeom prst="line">
                                <a:avLst/>
                              </a:prstGeom>
                              <a:noFill/>
                              <a:ln w="28575">
                                <a:solidFill>
                                  <a:srgbClr val="000000"/>
                                </a:solidFill>
                                <a:round/>
                              </a:ln>
                            </wps:spPr>
                            <wps:bodyPr/>
                          </wps:wsp>
                        </a:graphicData>
                      </a:graphic>
                    </wp:anchor>
                  </w:drawing>
                </mc:Choice>
                <mc:Fallback>
                  <w:pict>
                    <v:line id="Line 13" o:spid="_x0000_s1026" o:spt="20" style="position:absolute;left:0pt;flip:y;margin-left:30.15pt;margin-top:8.8pt;height:0.75pt;width:32.3pt;z-index:251662336;mso-width-relative:page;mso-height-relative:page;" filled="f" stroked="t" coordsize="21600,21600" o:gfxdata="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3tdFD1wAAAAgBAAAPAAAAAAAAAAEAIAAAACIAAABkcnMvZG93bnJldi54bWxQSwECFAAU&#10;AAAACACHTuJATcT1krkBAABhAwAADgAAAAAAAAABACAAAAAmAQAAZHJzL2Uyb0RvYy54bWxQSwUG&#10;AAAAAAYABgBZAQAAUQUAAAAA&#10;">
                      <v:fill on="f" focussize="0,0"/>
                      <v:stroke weight="2.25pt" color="#000000" joinstyle="round"/>
                      <v:imagedata o:title=""/>
                      <o:lock v:ext="edit" aspectratio="f"/>
                    </v:line>
                  </w:pict>
                </mc:Fallback>
              </mc:AlternateContent>
            </w:r>
          </w:p>
        </w:tc>
      </w:tr>
    </w:tbl>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本项目施工可分为准备期、施工期、扫尾期三个阶段：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准备期：由建设单位完成项目评审、对外交通、施工征地、民房拆迁以及招标、评标、施工合同签约等筹建工作，完成施工单位进场前的施工准备工作，三通一平。</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施工期：</w:t>
      </w:r>
      <w:r>
        <w:rPr>
          <w:rFonts w:hint="eastAsia" w:ascii="仿宋_GB2312" w:hAnsi="仿宋_GB2312" w:eastAsia="仿宋_GB2312" w:cs="仿宋_GB2312"/>
          <w:color w:val="auto"/>
          <w:sz w:val="32"/>
          <w:szCs w:val="32"/>
          <w:highlight w:val="none"/>
          <w:lang w:val="en-US" w:eastAsia="zh-CN"/>
        </w:rPr>
        <w:t>工程施工阶段</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扫尾期：施工现场建筑垃圾清除、拆除临时建筑物、平整渠侧取土坑及料场复平，竣工验收。</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6.2招标方案</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项目招标采取项目法人委托具有相应资质的招标代理机构代理招标的形式，由招标代理机构会同项目法人共同组织招标。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代理单位负责编写招标文件，投标邀请书，委托资质单位编制标底，组织开标、评标和定标工作。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建设项目的开标由项目法人和招标代理机构主持，邀请招标投标单位、政府主管部门和其他有关单位（监督、公正等部门）代表参加。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评标委员会负责评标。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项目法人和招标代理机构按照招投标法的有关规定，负责组建评标委员会。组织由项目法人、投标方以及受聘的技术、经济、法律等方面专家的评标委员会。与投标单位有利害关系的人员不得进入评标委员会。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评标委员会依据招标文件要求对投标文件进行综合评审和比较，并按顺序向项目法人推荐二至三个中标候选单位。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项目法人从评标委员会推荐的中标候选单位中择优确定中标单位。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中标确定后，项目法人正式发出经主管部门审核备案的《中标通知书》，并将全部评标结果，按项目隶属关系，报当地财政、发改委、卫生、建设部门备案。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6.3项目公告公示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项目实施需按</w:t>
      </w: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文件，按事前、事中、事后增加公示公告章节内容，并明确公示公告的方式。</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土建工程、设备工程、安装工程、需根据各工程的费用按照法律法规分项、分内容进行招标。</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7.项目绩效目标及效益分析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7.1年度目标</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7.1.1项目覆盖情况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项目覆盖阿西尔乡</w:t>
      </w:r>
      <w:r>
        <w:rPr>
          <w:rFonts w:hint="eastAsia" w:ascii="仿宋_GB2312" w:hAnsi="仿宋_GB2312" w:eastAsia="仿宋_GB2312" w:cs="仿宋_GB2312"/>
          <w:color w:val="auto"/>
          <w:sz w:val="32"/>
          <w:szCs w:val="32"/>
          <w:highlight w:val="none"/>
          <w:lang w:eastAsia="zh-CN"/>
        </w:rPr>
        <w:t>一棵树村</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7.2经济效益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7.2.1直接效益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项目的建设符合规划，能增加农业收入，改善农村环境，创造良好的交通环境，对当地的经济发展有很大的促进作用，使周边资源得以更加充分的利用和开发，带来一系列经济、社会效益。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7.2.2间接效益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务工收益及当地通过项目建设取得的相关费用效益。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7.3社会效益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（1）改善村民生活条件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实施后，能有效地改善当地村民生活的物质条件，还有利于改善当地村民生活条件，提高村民文化素质。项目的实施使得生活环境得以改善，生存质量得以提高，为促进安居乐业和向现代生活迈进打下了坚实的基础。</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通过项目的实施，促进村民生活质量的提高。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（2）有利于社会稳定，民族团结</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后，当地村民可享受较为便利的出行生活服务，能及时收听收看到党的方针政策，对于促进村民转变观念，开阔眼界，对于提高村民的素质、加速科技成果推广应用、缩小农牧区差距、建设全面小康社会具有重要意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本项目的实施将逐步改善当地居民的居住条件，进一步满足人民群众日益增长的生活需求，提高全民生活质量，有利于社会稳定，促进社会经济协调发展。</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的实施，让全区各族人民更加体会到党和政府的温暖，充分享受改革开放为百姓带来的成果；有利于宣传党的政策；有利于维护边疆稳定大局和民族大团结；有利于社会主义新农村的建设和社会主义和谐社会的构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综上所述，项目建设可以维护社会稳定、提高城市承载能力，改善投资环境，促进经济发展和繁荣。</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7.4生态效益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通过项目的实施会减少资源消耗、改善生态环境状况、遏制水土流失、提高森林覆盖率、水源涵养能力和水土保持能力、减少和降低人居活动对生态环境的破坏、降低事故发生频率。</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7.5可持续性影响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项目用工将吸纳本地剩余劳动力，缓解就业压力，利于社会长治久安。有利于城市的环境改善和保护，对农村的可持续发展有重大意义。</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8.风险分析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８.1主要风险因素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为政府投资的公共服务类项目，无土地征迁，不会引发集中社会风险。项目实施中可能面临的工程风险主要来自工程设计水平和质量；建筑施工水平和质量，即项目设计单位的水平和责任心，项目施工单位的人员素质、装备能力、施工期间的成本控制及质量管理等。</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８.2防范化解措施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(1)做好项目的工程设计，总结已建工程的设计经验，确保临建设项目的安全、实用，功能布局合理、流程适用，满足各项功能要求。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(2)做好工程招标工作。实行公开招标，选择资质等级高、社会信誉好，同时投标技术方案成熟、施工组织设计完善、工程报价合理的施工、建立企业参加与本项目的工程建设。从源头堵住由于施工企业能力不足可能造成的风险。</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zh-CN"/>
        </w:rPr>
        <w:t>)做好项目的工程设计，总结已建工程的设计经验，确保临建设项目的安全、实用，功能布局合理、流程适用，满足各项功能要求。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zh-CN"/>
        </w:rPr>
        <w:t>)做好工程招标工作。实行公开招标，选择资质等级高、社会信誉好，同时投标技术方案成熟、施工组织设计完善、工程报价合理的施工、建立企业参加与本项目的工程建设。从源头堵住由于施工企业能力不足可能造成的风险。</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Text Box 36"/>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36" o:spid="_x0000_s1026" o:spt="202" type="#_x0000_t202" style="position:absolute;left:0pt;margin-top:0pt;height:11pt;width:4.6pt;mso-position-horizontal:center;mso-position-horizontal-relative:margin;mso-wrap-style:none;z-index:25166336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1u5d9AAAAACAQAADwAAAAAAAAAB&#10;ACAAAAAiAAAAZHJzL2Rvd25yZXYueG1sUEsBAhQAFAAAAAgAh07iQFDxvhrfAQAAswMAAA4AAAAA&#10;AAAAAQAgAAAAHwEAAGRycy9lMm9Eb2MueG1sUEsFBgAAAAAGAAYAWQEAAHA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gwNDAyOGQ2MDJlMjFjYThjYzJkMTI3NTVjZTcifQ=="/>
  </w:docVars>
  <w:rsids>
    <w:rsidRoot w:val="00000000"/>
    <w:rsid w:val="07F324E6"/>
    <w:rsid w:val="0DC057AD"/>
    <w:rsid w:val="150567C6"/>
    <w:rsid w:val="15CB4A29"/>
    <w:rsid w:val="1E5A6459"/>
    <w:rsid w:val="211D522C"/>
    <w:rsid w:val="21B13C35"/>
    <w:rsid w:val="277A1C23"/>
    <w:rsid w:val="2EC21722"/>
    <w:rsid w:val="300433F7"/>
    <w:rsid w:val="348C0444"/>
    <w:rsid w:val="35E56119"/>
    <w:rsid w:val="39FF5F08"/>
    <w:rsid w:val="3E930B7A"/>
    <w:rsid w:val="3F9F0824"/>
    <w:rsid w:val="40457E86"/>
    <w:rsid w:val="45193E8D"/>
    <w:rsid w:val="51260213"/>
    <w:rsid w:val="602B45E8"/>
    <w:rsid w:val="62A01980"/>
    <w:rsid w:val="67C403D4"/>
    <w:rsid w:val="6CF81D9C"/>
    <w:rsid w:val="73C813B9"/>
    <w:rsid w:val="7506716D"/>
    <w:rsid w:val="7542055F"/>
    <w:rsid w:val="76595A40"/>
    <w:rsid w:val="79077528"/>
    <w:rsid w:val="799E6CA6"/>
    <w:rsid w:val="7AB72CCE"/>
    <w:rsid w:val="7C290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rPr>
  </w:style>
  <w:style w:type="paragraph" w:styleId="5">
    <w:name w:val="footer"/>
    <w:basedOn w:val="1"/>
    <w:qFormat/>
    <w:uiPriority w:val="99"/>
    <w:pPr>
      <w:tabs>
        <w:tab w:val="center" w:pos="4153"/>
        <w:tab w:val="right" w:pos="8306"/>
      </w:tabs>
      <w:snapToGrid w:val="0"/>
      <w:jc w:val="left"/>
    </w:pPr>
    <w:rPr>
      <w:sz w:val="18"/>
      <w:szCs w:val="18"/>
    </w:rPr>
  </w:style>
  <w:style w:type="paragraph" w:customStyle="1" w:styleId="8">
    <w:name w:val="Heading2"/>
    <w:basedOn w:val="1"/>
    <w:next w:val="1"/>
    <w:qFormat/>
    <w:uiPriority w:val="0"/>
    <w:pPr>
      <w:spacing w:before="100" w:beforeAutospacing="1" w:after="100" w:afterAutospacing="1"/>
      <w:jc w:val="left"/>
      <w:textAlignment w:val="baseline"/>
    </w:pPr>
    <w:rPr>
      <w:rFonts w:ascii="宋体" w:hAnsi="宋体" w:eastAsia="宋体"/>
      <w:b/>
      <w:kern w:val="0"/>
      <w:sz w:val="36"/>
      <w:szCs w:val="36"/>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2022-01-12T09:32:00Z</dcterms:created>
  <dc:creator>Administrator</dc:creator>
  <cp:lastModifiedBy>Administrator</cp:lastModifiedBy>
  <cp:lastPrinted>2022-09-13T03:31:00Z</cp:lastPrinted>
  <dcterms:modified xsi:type="dcterms:W3CDTF">2024-01-10T13:30:33Z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B753728D04E44CF5BC6A242CF164FF2D_12</vt:lpwstr>
  </property>
</Properties>
</file>