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855" w:firstLineChars="1200"/>
        <w:jc w:val="right"/>
        <w:rPr>
          <w:rFonts w:hint="eastAsia" w:ascii="楷体_GB2312" w:hAnsi="楷体_GB2312" w:eastAsia="楷体_GB2312" w:cs="楷体_GB2312"/>
          <w:b/>
          <w:bCs w:val="0"/>
          <w:kern w:val="1"/>
          <w:sz w:val="36"/>
          <w:szCs w:val="36"/>
          <w:highlight w:val="yellow"/>
          <w:lang w:eastAsia="zh-CN"/>
        </w:rPr>
      </w:pPr>
      <w:r>
        <w:rPr>
          <w:rFonts w:hint="eastAsia" w:ascii="楷体_GB2312" w:hAnsi="楷体_GB2312" w:eastAsia="楷体_GB2312" w:cs="楷体_GB2312"/>
          <w:b/>
          <w:bCs w:val="0"/>
          <w:kern w:val="1"/>
          <w:sz w:val="32"/>
          <w:szCs w:val="32"/>
        </w:rPr>
        <w:t>项目库编号：</w:t>
      </w:r>
      <w:r>
        <w:rPr>
          <w:rFonts w:hint="eastAsia" w:ascii="楷体_GB2312" w:hAnsi="楷体_GB2312" w:eastAsia="楷体_GB2312" w:cs="楷体_GB2312"/>
          <w:b/>
          <w:bCs w:val="0"/>
          <w:kern w:val="1"/>
          <w:sz w:val="32"/>
          <w:szCs w:val="32"/>
          <w:lang w:eastAsia="zh-CN"/>
        </w:rPr>
        <w:t>tc2024237</w:t>
      </w:r>
    </w:p>
    <w:p>
      <w:pPr>
        <w:spacing w:line="240" w:lineRule="auto"/>
        <w:ind w:left="1760" w:hanging="1760" w:hangingChars="400"/>
        <w:jc w:val="both"/>
        <w:rPr>
          <w:rFonts w:hint="eastAsia" w:ascii="方正小标宋简体" w:eastAsia="方正小标宋简体"/>
          <w:sz w:val="44"/>
          <w:szCs w:val="44"/>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48"/>
          <w:szCs w:val="48"/>
          <w:lang w:eastAsia="zh-CN"/>
        </w:rPr>
      </w:pPr>
      <w:r>
        <w:rPr>
          <w:rFonts w:hint="eastAsia" w:ascii="方正小标宋简体" w:eastAsia="方正小标宋简体"/>
          <w:sz w:val="48"/>
          <w:szCs w:val="48"/>
          <w:lang w:eastAsia="zh-CN"/>
        </w:rPr>
        <w:t>塔城市二工镇二工村、乌宗阿尕什村、吐马克齐村暖圈项目</w:t>
      </w:r>
    </w:p>
    <w:p>
      <w:pPr>
        <w:rPr>
          <w:rFonts w:hint="eastAsia"/>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48"/>
          <w:szCs w:val="48"/>
          <w:lang w:eastAsia="zh-CN"/>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48"/>
          <w:szCs w:val="48"/>
          <w:lang w:eastAsia="zh-CN"/>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48"/>
          <w:szCs w:val="48"/>
          <w:lang w:eastAsia="zh-CN"/>
        </w:rPr>
      </w:pPr>
    </w:p>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eastAsia="方正小标宋简体"/>
          <w:sz w:val="96"/>
          <w:szCs w:val="96"/>
          <w:lang w:eastAsia="zh-CN"/>
        </w:rPr>
      </w:pPr>
      <w:r>
        <w:rPr>
          <w:rFonts w:hint="eastAsia" w:ascii="方正小标宋简体" w:eastAsia="方正小标宋简体"/>
          <w:sz w:val="96"/>
          <w:szCs w:val="96"/>
          <w:lang w:eastAsia="zh-CN"/>
        </w:rPr>
        <w:t>实</w:t>
      </w:r>
      <w:r>
        <w:rPr>
          <w:rFonts w:hint="eastAsia" w:ascii="方正小标宋简体" w:eastAsia="方正小标宋简体"/>
          <w:sz w:val="96"/>
          <w:szCs w:val="96"/>
          <w:lang w:val="en-US" w:eastAsia="zh-CN"/>
        </w:rPr>
        <w:t xml:space="preserve"> </w:t>
      </w:r>
      <w:r>
        <w:rPr>
          <w:rFonts w:hint="eastAsia" w:ascii="方正小标宋简体" w:eastAsia="方正小标宋简体"/>
          <w:sz w:val="96"/>
          <w:szCs w:val="96"/>
          <w:lang w:eastAsia="zh-CN"/>
        </w:rPr>
        <w:t>施</w:t>
      </w:r>
      <w:r>
        <w:rPr>
          <w:rFonts w:hint="eastAsia" w:ascii="方正小标宋简体" w:eastAsia="方正小标宋简体"/>
          <w:sz w:val="96"/>
          <w:szCs w:val="96"/>
          <w:lang w:val="en-US" w:eastAsia="zh-CN"/>
        </w:rPr>
        <w:t xml:space="preserve"> </w:t>
      </w:r>
      <w:r>
        <w:rPr>
          <w:rFonts w:hint="eastAsia" w:ascii="方正小标宋简体" w:eastAsia="方正小标宋简体"/>
          <w:sz w:val="96"/>
          <w:szCs w:val="96"/>
          <w:lang w:eastAsia="zh-CN"/>
        </w:rPr>
        <w:t>方</w:t>
      </w:r>
      <w:r>
        <w:rPr>
          <w:rFonts w:hint="eastAsia" w:ascii="方正小标宋简体" w:eastAsia="方正小标宋简体"/>
          <w:sz w:val="96"/>
          <w:szCs w:val="96"/>
          <w:lang w:val="en-US" w:eastAsia="zh-CN"/>
        </w:rPr>
        <w:t xml:space="preserve"> </w:t>
      </w:r>
      <w:r>
        <w:rPr>
          <w:rFonts w:hint="eastAsia" w:ascii="方正小标宋简体" w:eastAsia="方正小标宋简体"/>
          <w:sz w:val="96"/>
          <w:szCs w:val="96"/>
          <w:lang w:eastAsia="zh-CN"/>
        </w:rPr>
        <w:t>案</w:t>
      </w:r>
    </w:p>
    <w:p>
      <w:pPr>
        <w:rPr>
          <w:rFonts w:ascii="方正小标宋简体" w:eastAsia="方正小标宋简体"/>
          <w:sz w:val="44"/>
          <w:szCs w:val="44"/>
        </w:rPr>
      </w:pPr>
    </w:p>
    <w:p>
      <w:pP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 xml:space="preserve"> </w:t>
      </w:r>
    </w:p>
    <w:p>
      <w:pPr>
        <w:rPr>
          <w:rFonts w:ascii="方正小标宋简体" w:eastAsia="方正小标宋简体"/>
          <w:sz w:val="44"/>
          <w:szCs w:val="44"/>
        </w:rPr>
      </w:pPr>
    </w:p>
    <w:p>
      <w:pPr>
        <w:rPr>
          <w:rFonts w:ascii="方正小标宋简体" w:eastAsia="方正小标宋简体"/>
          <w:sz w:val="44"/>
          <w:szCs w:val="44"/>
        </w:rPr>
      </w:pPr>
    </w:p>
    <w:p>
      <w:pPr>
        <w:pStyle w:val="3"/>
      </w:pPr>
    </w:p>
    <w:p>
      <w:pPr>
        <w:pStyle w:val="9"/>
        <w:ind w:left="0" w:leftChars="0" w:firstLine="0" w:firstLineChars="0"/>
        <w:rPr>
          <w:rFonts w:hint="eastAsia" w:ascii="方正黑体简体" w:hAnsi="方正黑体简体" w:eastAsia="方正黑体简体"/>
          <w:sz w:val="32"/>
          <w:szCs w:val="32"/>
        </w:rPr>
      </w:pPr>
    </w:p>
    <w:p>
      <w:pPr>
        <w:rPr>
          <w:rFonts w:hint="eastAsia"/>
        </w:rPr>
      </w:pPr>
    </w:p>
    <w:p>
      <w:pPr>
        <w:spacing w:line="56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项目名称：</w:t>
      </w:r>
      <w:r>
        <w:rPr>
          <w:rFonts w:hint="eastAsia" w:ascii="楷体_GB2312" w:hAnsi="楷体_GB2312" w:eastAsia="楷体_GB2312" w:cs="楷体_GB2312"/>
          <w:b/>
          <w:bCs/>
          <w:sz w:val="32"/>
          <w:szCs w:val="32"/>
          <w:lang w:eastAsia="zh-CN"/>
        </w:rPr>
        <w:t>塔城市二工镇二工村、乌宗阿尕什村、吐马克齐村暖圈项目</w:t>
      </w:r>
    </w:p>
    <w:p>
      <w:pPr>
        <w:spacing w:line="56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项目主管单位：</w:t>
      </w:r>
      <w:r>
        <w:rPr>
          <w:rFonts w:hint="eastAsia" w:ascii="楷体_GB2312" w:hAnsi="楷体_GB2312" w:eastAsia="楷体_GB2312" w:cs="楷体_GB2312"/>
          <w:b/>
          <w:bCs/>
          <w:sz w:val="32"/>
          <w:szCs w:val="32"/>
          <w:lang w:eastAsia="zh-CN"/>
        </w:rPr>
        <w:t>塔城市乡村振兴局</w:t>
      </w:r>
    </w:p>
    <w:p>
      <w:pPr>
        <w:spacing w:line="56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项目实施单位：</w:t>
      </w:r>
      <w:r>
        <w:rPr>
          <w:rFonts w:hint="eastAsia" w:ascii="楷体_GB2312" w:hAnsi="楷体_GB2312" w:eastAsia="楷体_GB2312" w:cs="楷体_GB2312"/>
          <w:b/>
          <w:bCs/>
          <w:sz w:val="32"/>
          <w:szCs w:val="32"/>
          <w:lang w:eastAsia="zh-CN"/>
        </w:rPr>
        <w:t>塔城市</w:t>
      </w:r>
      <w:r>
        <w:rPr>
          <w:rFonts w:hint="eastAsia" w:ascii="楷体_GB2312" w:hAnsi="楷体_GB2312" w:eastAsia="楷体_GB2312" w:cs="楷体_GB2312"/>
          <w:b/>
          <w:bCs/>
          <w:sz w:val="32"/>
          <w:szCs w:val="32"/>
          <w:lang w:val="en-US" w:eastAsia="zh-CN"/>
        </w:rPr>
        <w:t>二工镇人民政府</w:t>
      </w:r>
    </w:p>
    <w:p>
      <w:pPr>
        <w:spacing w:line="560" w:lineRule="exact"/>
        <w:ind w:firstLine="643" w:firstLineChars="200"/>
        <w:rPr>
          <w:rFonts w:hint="eastAsia" w:ascii="楷体_GB2312" w:hAnsi="楷体_GB2312" w:eastAsia="楷体_GB2312" w:cs="楷体_GB2312"/>
          <w:b/>
          <w:bCs/>
          <w:sz w:val="32"/>
          <w:szCs w:val="32"/>
          <w:lang w:val="en-US" w:eastAsia="zh-CN"/>
        </w:rPr>
        <w:sectPr>
          <w:headerReference r:id="rId3" w:type="default"/>
          <w:pgSz w:w="11900" w:h="16838"/>
          <w:pgMar w:top="1440" w:right="1797" w:bottom="1440" w:left="1797" w:header="850" w:footer="992" w:gutter="0"/>
          <w:pgNumType w:fmt="decimal"/>
          <w:cols w:space="0" w:num="1"/>
          <w:rtlGutter w:val="0"/>
          <w:docGrid w:linePitch="286" w:charSpace="0"/>
        </w:sectPr>
      </w:pPr>
      <w:r>
        <w:rPr>
          <w:rFonts w:hint="eastAsia" w:ascii="楷体_GB2312" w:hAnsi="楷体_GB2312" w:eastAsia="楷体_GB2312" w:cs="楷体_GB2312"/>
          <w:b/>
          <w:bCs/>
          <w:sz w:val="32"/>
          <w:szCs w:val="32"/>
        </w:rPr>
        <w:t>编制时间：</w:t>
      </w:r>
      <w:r>
        <w:rPr>
          <w:rFonts w:hint="eastAsia" w:ascii="楷体_GB2312" w:hAnsi="楷体_GB2312" w:eastAsia="楷体_GB2312" w:cs="楷体_GB2312"/>
          <w:b/>
          <w:bCs/>
          <w:sz w:val="32"/>
          <w:szCs w:val="32"/>
          <w:lang w:val="en-US" w:eastAsia="zh-CN"/>
        </w:rPr>
        <w:t>2023年12月</w:t>
      </w:r>
    </w:p>
    <w:p>
      <w:pPr>
        <w:jc w:val="center"/>
        <w:rPr>
          <w:rFonts w:hint="eastAsia" w:ascii="仿宋" w:hAnsi="仿宋" w:eastAsia="仿宋" w:cs="仿宋"/>
          <w:b/>
          <w:bCs/>
          <w:sz w:val="30"/>
          <w:szCs w:val="30"/>
          <w:lang w:eastAsia="zh-CN"/>
        </w:rPr>
      </w:pPr>
      <w:bookmarkStart w:id="0" w:name="_Toc11267"/>
      <w:r>
        <w:rPr>
          <w:rFonts w:hint="eastAsia" w:ascii="仿宋" w:hAnsi="仿宋" w:eastAsia="仿宋" w:cs="仿宋"/>
          <w:b/>
          <w:bCs/>
          <w:sz w:val="32"/>
          <w:szCs w:val="32"/>
          <w:lang w:eastAsia="zh-CN"/>
        </w:rPr>
        <w:t>目</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录</w:t>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fldChar w:fldCharType="begin"/>
      </w:r>
      <w:r>
        <w:rPr>
          <w:rFonts w:hint="eastAsia" w:ascii="仿宋_GB2312" w:hAnsi="仿宋_GB2312" w:eastAsia="仿宋_GB2312" w:cs="仿宋_GB2312"/>
          <w:b/>
          <w:bCs/>
          <w:sz w:val="28"/>
          <w:szCs w:val="28"/>
          <w:lang w:eastAsia="zh-CN"/>
        </w:rPr>
        <w:instrText xml:space="preserve">TOC \o "1-2" \h \u </w:instrText>
      </w:r>
      <w:r>
        <w:rPr>
          <w:rFonts w:hint="eastAsia" w:ascii="仿宋_GB2312" w:hAnsi="仿宋_GB2312" w:eastAsia="仿宋_GB2312" w:cs="仿宋_GB2312"/>
          <w:b/>
          <w:bCs/>
          <w:sz w:val="28"/>
          <w:szCs w:val="28"/>
          <w:lang w:eastAsia="zh-CN"/>
        </w:rPr>
        <w:fldChar w:fldCharType="separate"/>
      </w: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_Toc28389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1.基本情况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_Toc28389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_Toc10315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1.1项目库编号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_Toc10315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_Toc31397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1.2项目名称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_Toc31397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_Toc25698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1.3项目主管单位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_Toc25698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_Toc12155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1.4项目实施单位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_Toc12155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_Toc30004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1.5项目建设性质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_Toc30004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_Toc12081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1.6项目类别</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_Toc7981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1.7 项目建设内容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_Toc7981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_Toc30477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1.8项目资金筹措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_Toc30477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_Toc13032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1.9项目建设期限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_Toc13032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_Toc17432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1.10项目建设地点及基本情况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_Toc17432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_Toc21682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2.项目立项情况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_Toc21682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_Toc24342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2.1项目建设依据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_Toc24342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_Toc12615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2.2建设内容及规模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_Toc12615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_Toc13514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2.3项目建设的必要性和可行性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_Toc13514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_Toc4460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 xml:space="preserve">2.4 </w:t>
      </w:r>
      <w:r>
        <w:rPr>
          <w:rFonts w:hint="eastAsia" w:ascii="仿宋_GB2312" w:hAnsi="仿宋_GB2312" w:eastAsia="仿宋_GB2312" w:cs="仿宋_GB2312"/>
          <w:bCs/>
          <w:sz w:val="28"/>
          <w:szCs w:val="28"/>
        </w:rPr>
        <w:t>综合条件评价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_Toc4460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_Toc2890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3.设计或技术方案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_Toc2890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_Toc4206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3.1项目设计（技术依据）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_Toc4206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_Toc18362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3.2建设内容、规模、标准、投资设计等明细资料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_Toc18362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_Toc29785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4.投资概算和资金筹措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_Toc29785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_Toc17126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4.1项目总投资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_Toc17126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_Toc13874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US" w:eastAsia="zh-CN"/>
        </w:rPr>
        <w:t>2项目概算</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_Toc13874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_Toc27363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资金筹措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_Toc27363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_Toc24259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资金使用和管理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_Toc24259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_Toc21556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4.5资产移交要求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_Toc21556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_Toc11231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4.6资金筹措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_Toc11231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_Toc15192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5.项目实施保障措施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_Toc15192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_Toc20015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5.1组织领导机构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_Toc20015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_Toc976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5.3项目管理、监督检查制度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_Toc17072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5.4验收管理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_Toc17072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_Toc10298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5.5</w:t>
      </w:r>
      <w:r>
        <w:rPr>
          <w:rFonts w:hint="eastAsia" w:ascii="仿宋_GB2312" w:hAnsi="仿宋_GB2312" w:eastAsia="仿宋_GB2312" w:cs="仿宋_GB2312"/>
          <w:bCs/>
          <w:sz w:val="28"/>
          <w:szCs w:val="28"/>
          <w:lang w:val="en-US" w:eastAsia="zh-CN"/>
        </w:rPr>
        <w:t>管护机制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_Toc10298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_Toc3274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5.6利益连接机制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_Toc27775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6.项目实施进度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_Toc27775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_Toc32356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6.1项目实施进度计划及安排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_Toc32356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_Toc27164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6.2招标方案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_Toc27164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_Toc25961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6.3项目公告公示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_Toc25961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_Toc4116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7.项目绩效目标及效益分析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_Toc4116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_Toc29330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7.1年度目标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_Toc29330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_Toc15114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7.2经济效益</w:t>
      </w:r>
      <w:r>
        <w:rPr>
          <w:rFonts w:hint="eastAsia" w:ascii="仿宋_GB2312" w:hAnsi="仿宋_GB2312" w:eastAsia="仿宋_GB2312" w:cs="仿宋_GB2312"/>
          <w:bCs/>
          <w:sz w:val="28"/>
          <w:szCs w:val="28"/>
          <w:lang w:val="en-US" w:eastAsia="zh-CN"/>
        </w:rPr>
        <w:t>分析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_Toc15114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_Toc2937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7.3社会效益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_Toc28564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rPr>
        <w:t>7.</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可持续性影响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_Toc28564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_Toc2621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8.风险分析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_Toc2621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_Toc20426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8.1</w:t>
      </w:r>
      <w:r>
        <w:rPr>
          <w:rFonts w:hint="eastAsia" w:ascii="仿宋_GB2312" w:hAnsi="仿宋_GB2312" w:eastAsia="仿宋_GB2312" w:cs="仿宋_GB2312"/>
          <w:bCs/>
          <w:sz w:val="28"/>
          <w:szCs w:val="28"/>
        </w:rPr>
        <w:t>影响项目风险因素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_Toc20426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_Toc16185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8.2</w:t>
      </w:r>
      <w:r>
        <w:rPr>
          <w:rFonts w:hint="eastAsia" w:ascii="仿宋_GB2312" w:hAnsi="仿宋_GB2312" w:eastAsia="仿宋_GB2312" w:cs="仿宋_GB2312"/>
          <w:bCs/>
          <w:sz w:val="28"/>
          <w:szCs w:val="28"/>
        </w:rPr>
        <w:t>风险防控措施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_Toc16185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_Toc28312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bCs/>
          <w:sz w:val="28"/>
          <w:szCs w:val="28"/>
          <w:lang w:val="en-US" w:eastAsia="zh-CN"/>
        </w:rPr>
        <w:t>9.结论与建议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_Toc28312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_Toc28072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sz w:val="28"/>
          <w:szCs w:val="28"/>
          <w:lang w:val="en-US" w:eastAsia="zh-CN"/>
        </w:rPr>
        <w:t>9.1结论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_Toc28072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pStyle w:val="15"/>
        <w:tabs>
          <w:tab w:val="right" w:leader="dot" w:pos="8306"/>
        </w:tabs>
      </w:pPr>
      <w:r>
        <w:rPr>
          <w:rFonts w:hint="eastAsia" w:ascii="仿宋_GB2312" w:hAnsi="仿宋_GB2312" w:eastAsia="仿宋_GB2312" w:cs="仿宋_GB2312"/>
          <w:bCs/>
          <w:sz w:val="28"/>
          <w:szCs w:val="28"/>
          <w:lang w:eastAsia="zh-CN"/>
        </w:rPr>
        <w:fldChar w:fldCharType="begin"/>
      </w:r>
      <w:r>
        <w:rPr>
          <w:rFonts w:hint="eastAsia" w:ascii="仿宋_GB2312" w:hAnsi="仿宋_GB2312" w:eastAsia="仿宋_GB2312" w:cs="仿宋_GB2312"/>
          <w:bCs/>
          <w:sz w:val="28"/>
          <w:szCs w:val="28"/>
          <w:lang w:eastAsia="zh-CN"/>
        </w:rPr>
        <w:instrText xml:space="preserve"> HYPERLINK \l _Toc30305 </w:instrText>
      </w:r>
      <w:r>
        <w:rPr>
          <w:rFonts w:hint="eastAsia" w:ascii="仿宋_GB2312" w:hAnsi="仿宋_GB2312" w:eastAsia="仿宋_GB2312" w:cs="仿宋_GB2312"/>
          <w:bCs/>
          <w:sz w:val="28"/>
          <w:szCs w:val="28"/>
          <w:lang w:eastAsia="zh-CN"/>
        </w:rPr>
        <w:fldChar w:fldCharType="separate"/>
      </w:r>
      <w:r>
        <w:rPr>
          <w:rFonts w:hint="eastAsia" w:ascii="仿宋_GB2312" w:hAnsi="仿宋_GB2312" w:eastAsia="仿宋_GB2312" w:cs="仿宋_GB2312"/>
          <w:sz w:val="28"/>
          <w:szCs w:val="28"/>
          <w:lang w:val="en-US" w:eastAsia="zh-CN"/>
        </w:rPr>
        <w:t>9.2</w:t>
      </w: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_Toc30305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sz w:val="28"/>
          <w:szCs w:val="28"/>
          <w:lang w:eastAsia="zh-CN"/>
        </w:rPr>
        <w:fldChar w:fldCharType="end"/>
      </w:r>
    </w:p>
    <w:p>
      <w:pPr>
        <w:rPr>
          <w:rFonts w:hint="eastAsia" w:ascii="仿宋" w:hAnsi="仿宋" w:eastAsia="仿宋" w:cs="仿宋"/>
          <w:b/>
          <w:bCs/>
          <w:sz w:val="30"/>
          <w:szCs w:val="30"/>
          <w:lang w:eastAsia="zh-CN"/>
        </w:rPr>
      </w:pPr>
      <w:r>
        <w:rPr>
          <w:rFonts w:hint="eastAsia" w:ascii="仿宋_GB2312" w:hAnsi="仿宋_GB2312" w:eastAsia="仿宋_GB2312" w:cs="仿宋_GB2312"/>
          <w:bCs/>
          <w:szCs w:val="28"/>
          <w:lang w:eastAsia="zh-CN"/>
        </w:rPr>
        <w:fldChar w:fldCharType="end"/>
      </w:r>
    </w:p>
    <w:p>
      <w:pPr>
        <w:pStyle w:val="25"/>
        <w:spacing w:line="500" w:lineRule="exact"/>
        <w:ind w:firstLine="0" w:firstLineChars="0"/>
        <w:outlineLvl w:val="0"/>
        <w:rPr>
          <w:rFonts w:hint="eastAsia" w:ascii="仿宋" w:hAnsi="仿宋" w:eastAsia="仿宋" w:cs="仿宋"/>
          <w:b/>
          <w:bCs/>
          <w:sz w:val="30"/>
          <w:szCs w:val="30"/>
        </w:rPr>
        <w:sectPr>
          <w:footerReference r:id="rId4" w:type="default"/>
          <w:pgSz w:w="11900" w:h="16838"/>
          <w:pgMar w:top="1440" w:right="1797" w:bottom="1440" w:left="1797" w:header="850" w:footer="992" w:gutter="0"/>
          <w:pgNumType w:fmt="decimal" w:start="1"/>
          <w:cols w:space="0" w:num="1"/>
          <w:rtlGutter w:val="0"/>
          <w:docGrid w:linePitch="0" w:charSpace="0"/>
        </w:sectPr>
      </w:pPr>
    </w:p>
    <w:p>
      <w:pPr>
        <w:pStyle w:val="25"/>
        <w:spacing w:line="500" w:lineRule="exact"/>
        <w:ind w:firstLine="0" w:firstLineChars="0"/>
        <w:outlineLvl w:val="0"/>
        <w:rPr>
          <w:rFonts w:hint="eastAsia" w:ascii="仿宋" w:hAnsi="仿宋" w:eastAsia="仿宋" w:cs="仿宋"/>
          <w:b/>
          <w:bCs/>
          <w:sz w:val="30"/>
          <w:szCs w:val="30"/>
        </w:rPr>
        <w:sectPr>
          <w:footerReference r:id="rId5" w:type="default"/>
          <w:type w:val="continuous"/>
          <w:pgSz w:w="11900" w:h="16838"/>
          <w:pgMar w:top="1440" w:right="1797" w:bottom="1440" w:left="1797" w:header="850" w:footer="992" w:gutter="0"/>
          <w:pgNumType w:fmt="decimal"/>
          <w:cols w:space="0" w:num="1"/>
          <w:rtlGutter w:val="0"/>
          <w:docGrid w:linePitch="0" w:charSpace="0"/>
        </w:sectPr>
      </w:pPr>
    </w:p>
    <w:p>
      <w:pPr>
        <w:pStyle w:val="25"/>
        <w:spacing w:line="500" w:lineRule="exact"/>
        <w:ind w:firstLine="0" w:firstLineChars="0"/>
        <w:outlineLvl w:val="0"/>
        <w:rPr>
          <w:rFonts w:hint="eastAsia" w:ascii="黑体" w:hAnsi="黑体" w:eastAsia="黑体" w:cs="黑体"/>
          <w:b w:val="0"/>
          <w:bCs w:val="0"/>
          <w:sz w:val="30"/>
          <w:szCs w:val="30"/>
        </w:rPr>
      </w:pPr>
      <w:bookmarkStart w:id="1" w:name="_Toc28389"/>
      <w:r>
        <w:rPr>
          <w:rFonts w:hint="eastAsia" w:ascii="黑体" w:hAnsi="黑体" w:eastAsia="黑体" w:cs="黑体"/>
          <w:b w:val="0"/>
          <w:bCs w:val="0"/>
          <w:sz w:val="30"/>
          <w:szCs w:val="30"/>
        </w:rPr>
        <w:t>1.基本情况</w:t>
      </w:r>
      <w:bookmarkEnd w:id="0"/>
      <w:bookmarkEnd w:id="1"/>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 w:name="_Toc658"/>
      <w:bookmarkStart w:id="3" w:name="_Toc10315"/>
      <w:r>
        <w:rPr>
          <w:rFonts w:hint="eastAsia" w:ascii="楷体_GB2312" w:hAnsi="楷体_GB2312" w:eastAsia="楷体_GB2312" w:cs="楷体_GB2312"/>
          <w:sz w:val="32"/>
          <w:szCs w:val="32"/>
          <w:lang w:val="en-US" w:eastAsia="zh-CN"/>
        </w:rPr>
        <w:t>1.1项目库编号</w:t>
      </w:r>
      <w:bookmarkEnd w:id="2"/>
      <w:bookmarkEnd w:id="3"/>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z w:val="32"/>
          <w:szCs w:val="32"/>
          <w:lang w:val="en-US" w:eastAsia="zh-CN" w:bidi="ar-SA"/>
        </w:rPr>
      </w:pPr>
      <w:bookmarkStart w:id="4" w:name="_Toc31397"/>
      <w:bookmarkStart w:id="5" w:name="_Toc12050"/>
      <w:r>
        <w:rPr>
          <w:rFonts w:hint="eastAsia" w:ascii="仿宋" w:hAnsi="仿宋" w:eastAsia="仿宋" w:cs="仿宋"/>
          <w:b w:val="0"/>
          <w:bCs w:val="0"/>
          <w:sz w:val="32"/>
          <w:szCs w:val="32"/>
          <w:lang w:val="en-US" w:eastAsia="zh-CN" w:bidi="ar-SA"/>
        </w:rPr>
        <w:t>tc2024237</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1.2项目名称</w:t>
      </w:r>
      <w:bookmarkEnd w:id="4"/>
      <w:bookmarkEnd w:id="5"/>
    </w:p>
    <w:p>
      <w:pPr>
        <w:pStyle w:val="25"/>
        <w:spacing w:line="500" w:lineRule="exact"/>
        <w:ind w:left="0" w:leftChars="0" w:firstLine="640" w:firstLineChars="200"/>
        <w:outlineLvl w:val="1"/>
        <w:rPr>
          <w:rFonts w:hint="eastAsia" w:ascii="仿宋" w:hAnsi="仿宋" w:eastAsia="仿宋" w:cs="仿宋"/>
          <w:b w:val="0"/>
          <w:bCs w:val="0"/>
          <w:sz w:val="32"/>
          <w:szCs w:val="32"/>
          <w:lang w:val="en-US" w:eastAsia="zh-CN" w:bidi="ar-SA"/>
        </w:rPr>
      </w:pPr>
      <w:bookmarkStart w:id="6" w:name="_Toc5367"/>
      <w:bookmarkStart w:id="7" w:name="_Toc25698"/>
      <w:r>
        <w:rPr>
          <w:rFonts w:hint="eastAsia" w:ascii="仿宋" w:hAnsi="仿宋" w:eastAsia="仿宋" w:cs="仿宋"/>
          <w:b w:val="0"/>
          <w:bCs w:val="0"/>
          <w:sz w:val="32"/>
          <w:szCs w:val="32"/>
          <w:lang w:val="en-US" w:eastAsia="zh-CN" w:bidi="ar-SA"/>
        </w:rPr>
        <w:t>塔城市二工镇二工村、乌宗阿尕什村、吐马克齐村暖圈项目</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1.3项目主管单位</w:t>
      </w:r>
      <w:bookmarkEnd w:id="6"/>
      <w:bookmarkEnd w:id="7"/>
    </w:p>
    <w:p>
      <w:pPr>
        <w:kinsoku/>
        <w:wordWrap/>
        <w:overflowPunct/>
        <w:topLinePunct w:val="0"/>
        <w:autoSpaceDE/>
        <w:autoSpaceDN/>
        <w:bidi w:val="0"/>
        <w:spacing w:line="500" w:lineRule="exact"/>
        <w:ind w:left="0" w:firstLine="640" w:firstLineChars="200"/>
        <w:rPr>
          <w:rFonts w:hint="default" w:ascii="仿宋" w:hAnsi="仿宋" w:eastAsia="仿宋" w:cs="仿宋"/>
          <w:color w:val="auto"/>
          <w:sz w:val="32"/>
          <w:szCs w:val="32"/>
          <w:lang w:val="en-US" w:eastAsia="zh-CN"/>
        </w:rPr>
      </w:pPr>
      <w:r>
        <w:rPr>
          <w:rFonts w:hint="eastAsia" w:ascii="仿宋" w:hAnsi="仿宋" w:eastAsia="仿宋" w:cs="仿宋"/>
          <w:b w:val="0"/>
          <w:bCs w:val="0"/>
          <w:sz w:val="32"/>
          <w:szCs w:val="32"/>
          <w:lang w:val="en-US" w:eastAsia="zh-CN" w:bidi="ar-SA"/>
        </w:rPr>
        <w:t>塔城市</w:t>
      </w:r>
      <w:r>
        <w:rPr>
          <w:rFonts w:hint="eastAsia" w:ascii="仿宋" w:hAnsi="仿宋" w:eastAsia="仿宋" w:cs="仿宋"/>
          <w:sz w:val="32"/>
          <w:szCs w:val="32"/>
          <w:lang w:val="en-US" w:eastAsia="zh-CN" w:bidi="ar-SA"/>
        </w:rPr>
        <w:t>乡村</w:t>
      </w:r>
      <w:r>
        <w:rPr>
          <w:rFonts w:hint="eastAsia" w:ascii="仿宋" w:hAnsi="仿宋" w:eastAsia="仿宋" w:cs="仿宋"/>
          <w:b w:val="0"/>
          <w:bCs w:val="0"/>
          <w:sz w:val="32"/>
          <w:szCs w:val="32"/>
          <w:lang w:val="en-US" w:eastAsia="zh-CN" w:bidi="ar-SA"/>
        </w:rPr>
        <w:t>振兴局</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8" w:name="_Toc27977"/>
      <w:bookmarkStart w:id="9" w:name="_Toc12155"/>
      <w:r>
        <w:rPr>
          <w:rFonts w:hint="eastAsia" w:ascii="楷体_GB2312" w:hAnsi="楷体_GB2312" w:eastAsia="楷体_GB2312" w:cs="楷体_GB2312"/>
          <w:sz w:val="32"/>
          <w:szCs w:val="32"/>
          <w:lang w:val="en-US" w:eastAsia="zh-CN"/>
        </w:rPr>
        <w:t>1.4项目实施单位</w:t>
      </w:r>
      <w:bookmarkEnd w:id="8"/>
      <w:bookmarkEnd w:id="9"/>
    </w:p>
    <w:p>
      <w:pPr>
        <w:kinsoku/>
        <w:wordWrap/>
        <w:overflowPunct/>
        <w:topLinePunct w:val="0"/>
        <w:autoSpaceDE/>
        <w:autoSpaceDN/>
        <w:bidi w:val="0"/>
        <w:spacing w:line="500" w:lineRule="exact"/>
        <w:ind w:left="0" w:firstLine="640" w:firstLineChars="200"/>
        <w:rPr>
          <w:rFonts w:hint="eastAsia" w:ascii="仿宋" w:hAnsi="Times New Roman" w:eastAsia="仿宋" w:cs="仿宋"/>
          <w:sz w:val="32"/>
          <w:szCs w:val="32"/>
          <w:lang w:eastAsia="zh-CN"/>
        </w:rPr>
      </w:pPr>
      <w:r>
        <w:rPr>
          <w:rFonts w:hint="eastAsia" w:ascii="仿宋" w:hAnsi="Times New Roman" w:eastAsia="仿宋" w:cs="仿宋"/>
          <w:sz w:val="32"/>
          <w:szCs w:val="32"/>
          <w:lang w:val="en-US" w:eastAsia="zh-CN"/>
        </w:rPr>
        <w:t>塔城市</w:t>
      </w:r>
      <w:r>
        <w:rPr>
          <w:rFonts w:hint="eastAsia" w:ascii="仿宋" w:hAnsi="Times New Roman" w:eastAsia="仿宋" w:cs="仿宋"/>
          <w:sz w:val="32"/>
          <w:szCs w:val="32"/>
          <w:lang w:eastAsia="zh-CN"/>
        </w:rPr>
        <w:t>二工镇人民政府</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0" w:name="_Toc30004"/>
      <w:bookmarkStart w:id="11" w:name="_Toc8644"/>
      <w:r>
        <w:rPr>
          <w:rFonts w:hint="eastAsia" w:ascii="楷体_GB2312" w:hAnsi="楷体_GB2312" w:eastAsia="楷体_GB2312" w:cs="楷体_GB2312"/>
          <w:sz w:val="32"/>
          <w:szCs w:val="32"/>
          <w:lang w:val="en-US" w:eastAsia="zh-CN"/>
        </w:rPr>
        <w:t>1.5项目建设性质</w:t>
      </w:r>
      <w:bookmarkEnd w:id="10"/>
      <w:bookmarkEnd w:id="11"/>
    </w:p>
    <w:p>
      <w:pPr>
        <w:kinsoku/>
        <w:wordWrap/>
        <w:overflowPunct/>
        <w:topLinePunct w:val="0"/>
        <w:autoSpaceDE/>
        <w:autoSpaceDN/>
        <w:bidi w:val="0"/>
        <w:spacing w:line="500" w:lineRule="exact"/>
        <w:ind w:left="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新建</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2" w:name="_Toc31154"/>
      <w:bookmarkStart w:id="13" w:name="_Toc12081"/>
      <w:r>
        <w:rPr>
          <w:rFonts w:hint="eastAsia" w:ascii="楷体_GB2312" w:hAnsi="楷体_GB2312" w:eastAsia="楷体_GB2312" w:cs="楷体_GB2312"/>
          <w:sz w:val="32"/>
          <w:szCs w:val="32"/>
          <w:lang w:val="en-US" w:eastAsia="zh-CN"/>
        </w:rPr>
        <w:t>1.6项目类别</w:t>
      </w:r>
      <w:bookmarkEnd w:id="12"/>
      <w:bookmarkEnd w:id="13"/>
    </w:p>
    <w:p>
      <w:pPr>
        <w:kinsoku/>
        <w:wordWrap/>
        <w:overflowPunct/>
        <w:topLinePunct w:val="0"/>
        <w:autoSpaceDE/>
        <w:autoSpaceDN/>
        <w:bidi w:val="0"/>
        <w:spacing w:line="500" w:lineRule="exact"/>
        <w:ind w:left="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产业类项目</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4" w:name="_Toc18612"/>
      <w:bookmarkStart w:id="15" w:name="_Toc7981"/>
      <w:r>
        <w:rPr>
          <w:rFonts w:hint="eastAsia" w:ascii="楷体_GB2312" w:hAnsi="楷体_GB2312" w:eastAsia="楷体_GB2312" w:cs="楷体_GB2312"/>
          <w:sz w:val="32"/>
          <w:szCs w:val="32"/>
          <w:lang w:val="en-US" w:eastAsia="zh-CN"/>
        </w:rPr>
        <w:fldChar w:fldCharType="begin"/>
      </w:r>
      <w:r>
        <w:rPr>
          <w:rFonts w:hint="eastAsia" w:ascii="楷体_GB2312" w:hAnsi="楷体_GB2312" w:eastAsia="楷体_GB2312" w:cs="楷体_GB2312"/>
          <w:sz w:val="32"/>
          <w:szCs w:val="32"/>
          <w:lang w:val="en-US" w:eastAsia="zh-CN"/>
        </w:rPr>
        <w:instrText xml:space="preserve"> HYPERLINK "某养殖类项目建设内容.pdf" </w:instrText>
      </w:r>
      <w:r>
        <w:rPr>
          <w:rFonts w:hint="eastAsia" w:ascii="楷体_GB2312" w:hAnsi="楷体_GB2312" w:eastAsia="楷体_GB2312" w:cs="楷体_GB2312"/>
          <w:sz w:val="32"/>
          <w:szCs w:val="32"/>
          <w:lang w:val="en-US" w:eastAsia="zh-CN"/>
        </w:rPr>
        <w:fldChar w:fldCharType="separate"/>
      </w:r>
      <w:r>
        <w:rPr>
          <w:rFonts w:hint="eastAsia" w:ascii="楷体_GB2312" w:hAnsi="楷体_GB2312" w:eastAsia="楷体_GB2312" w:cs="楷体_GB2312"/>
          <w:sz w:val="32"/>
          <w:szCs w:val="32"/>
          <w:lang w:val="en-US" w:eastAsia="zh-CN"/>
        </w:rPr>
        <w:t>1.7 项目建设内容</w:t>
      </w:r>
      <w:r>
        <w:rPr>
          <w:rFonts w:hint="eastAsia" w:ascii="楷体_GB2312" w:hAnsi="楷体_GB2312" w:eastAsia="楷体_GB2312" w:cs="楷体_GB2312"/>
          <w:sz w:val="32"/>
          <w:szCs w:val="32"/>
          <w:lang w:val="en-US" w:eastAsia="zh-CN"/>
        </w:rPr>
        <w:fldChar w:fldCharType="end"/>
      </w:r>
      <w:bookmarkEnd w:id="14"/>
      <w:bookmarkEnd w:id="15"/>
    </w:p>
    <w:p>
      <w:pPr>
        <w:kinsoku/>
        <w:wordWrap/>
        <w:overflowPunct/>
        <w:topLinePunct w:val="0"/>
        <w:autoSpaceDE/>
        <w:autoSpaceDN/>
        <w:bidi w:val="0"/>
        <w:spacing w:line="500" w:lineRule="exact"/>
        <w:ind w:left="0"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本</w:t>
      </w:r>
      <w:r>
        <w:rPr>
          <w:rFonts w:hint="eastAsia" w:ascii="仿宋" w:hAnsi="仿宋" w:eastAsia="仿宋" w:cs="仿宋"/>
          <w:b w:val="0"/>
          <w:bCs w:val="0"/>
          <w:sz w:val="32"/>
          <w:szCs w:val="32"/>
          <w:lang w:val="en-US" w:eastAsia="zh-CN" w:bidi="ar-SA"/>
        </w:rPr>
        <w:t>项目总投资237万元，在天羊牧业园区建设3座800平方米圈舍及配套设施，用于二工村、乌宗阿尕什村、吐马克齐村发展本村畜牧业，固定资产收益由村集体收益。</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6" w:name="_Toc29303"/>
      <w:bookmarkStart w:id="17" w:name="_Toc30477"/>
      <w:r>
        <w:rPr>
          <w:rFonts w:hint="eastAsia" w:ascii="楷体_GB2312" w:hAnsi="楷体_GB2312" w:eastAsia="楷体_GB2312" w:cs="楷体_GB2312"/>
          <w:sz w:val="32"/>
          <w:szCs w:val="32"/>
          <w:lang w:val="en-US" w:eastAsia="zh-CN"/>
        </w:rPr>
        <w:t>1.8项目资金筹措</w:t>
      </w:r>
      <w:bookmarkEnd w:id="16"/>
      <w:bookmarkEnd w:id="17"/>
    </w:p>
    <w:p>
      <w:pPr>
        <w:kinsoku/>
        <w:wordWrap/>
        <w:overflowPunct/>
        <w:topLinePunct w:val="0"/>
        <w:autoSpaceDE/>
        <w:autoSpaceDN/>
        <w:bidi w:val="0"/>
        <w:spacing w:line="500" w:lineRule="exact"/>
        <w:ind w:left="0"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项目资金来源：项目总投资237万元，中央衔接推进乡村振兴补助资金237万元。</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8" w:name="_Toc13032"/>
      <w:bookmarkStart w:id="19" w:name="_Toc8004"/>
      <w:r>
        <w:rPr>
          <w:rFonts w:hint="eastAsia" w:ascii="楷体_GB2312" w:hAnsi="楷体_GB2312" w:eastAsia="楷体_GB2312" w:cs="楷体_GB2312"/>
          <w:sz w:val="32"/>
          <w:szCs w:val="32"/>
          <w:lang w:val="en-US" w:eastAsia="zh-CN"/>
        </w:rPr>
        <w:t>1.9项目建设期限</w:t>
      </w:r>
      <w:bookmarkEnd w:id="18"/>
      <w:bookmarkEnd w:id="19"/>
    </w:p>
    <w:p>
      <w:pPr>
        <w:spacing w:after="0" w:line="518" w:lineRule="exact"/>
        <w:ind w:right="146" w:firstLine="640" w:firstLineChars="200"/>
        <w:jc w:val="both"/>
        <w:rPr>
          <w:rFonts w:hint="eastAsia" w:ascii="仿宋" w:hAnsi="仿宋" w:eastAsia="仿宋" w:cs="仿宋"/>
          <w:color w:val="auto"/>
          <w:sz w:val="32"/>
          <w:szCs w:val="32"/>
        </w:rPr>
      </w:pPr>
      <w:r>
        <w:rPr>
          <w:rFonts w:hint="eastAsia" w:ascii="仿宋" w:hAnsi="仿宋" w:eastAsia="仿宋" w:cs="仿宋"/>
          <w:sz w:val="32"/>
          <w:szCs w:val="32"/>
          <w:lang w:val="en-US" w:eastAsia="zh-CN" w:bidi="ar-SA"/>
        </w:rPr>
        <w:t>项目施工期限8个月，</w:t>
      </w:r>
      <w:r>
        <w:rPr>
          <w:rFonts w:hint="eastAsia" w:ascii="仿宋" w:hAnsi="仿宋" w:eastAsia="仿宋" w:cs="仿宋"/>
          <w:color w:val="auto"/>
          <w:sz w:val="32"/>
          <w:szCs w:val="32"/>
        </w:rPr>
        <w:t>建设期限为202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0" w:name="_Toc15828"/>
      <w:bookmarkStart w:id="21" w:name="_Toc17432"/>
      <w:r>
        <w:rPr>
          <w:rFonts w:hint="eastAsia" w:ascii="楷体_GB2312" w:hAnsi="楷体_GB2312" w:eastAsia="楷体_GB2312" w:cs="楷体_GB2312"/>
          <w:sz w:val="32"/>
          <w:szCs w:val="32"/>
          <w:lang w:val="en-US" w:eastAsia="zh-CN"/>
        </w:rPr>
        <w:t>1.10项目建设地点及基本情况</w:t>
      </w:r>
      <w:bookmarkEnd w:id="20"/>
      <w:bookmarkEnd w:id="21"/>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本项目拟建设地点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塔城市</w:t>
      </w:r>
      <w:r>
        <w:rPr>
          <w:rFonts w:hint="eastAsia" w:ascii="仿宋" w:hAnsi="仿宋" w:eastAsia="仿宋" w:cs="仿宋"/>
          <w:b w:val="0"/>
          <w:bCs w:val="0"/>
          <w:sz w:val="32"/>
          <w:szCs w:val="32"/>
          <w:lang w:val="en-US" w:eastAsia="zh-CN" w:bidi="ar-SA"/>
        </w:rPr>
        <w:t>天羊牧业园区养殖聚集区</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lang w:val="en-US" w:eastAsia="zh-CN"/>
        </w:rPr>
      </w:pPr>
      <w:bookmarkStart w:id="22" w:name="_Toc20621"/>
      <w:bookmarkStart w:id="23" w:name="_Toc21682"/>
      <w:r>
        <w:rPr>
          <w:rFonts w:hint="eastAsia" w:ascii="仿宋" w:hAnsi="仿宋" w:eastAsia="仿宋" w:cs="仿宋"/>
          <w:sz w:val="32"/>
          <w:szCs w:val="32"/>
          <w:lang w:val="en-US" w:eastAsia="zh-CN"/>
        </w:rPr>
        <w:t>1、地理位置</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市位于新疆维吾尔自治区西北部、准噶尔盆地西北边缘的塔城盆地，西北部与哈萨克斯坦共和国接壤，东与额敏县毗连，南与裕民县相邻，总面积4356.6平方公里。地处东经82°41′~83°41′，北纬46°21′~47°14′。市域总面积4356.6平方公里。东距自治区首府乌鲁木齐市530公里，西距国家一类口岸--</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"http://baike.so.com/doc/6222083-6435389.html" \t "http://baike.so.com/doc/_blank"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巴克图口岸</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直线距离仅12公里，是中国距离边境最近的开放城市之一。</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位于塔城市郊，环城四周分布，东与喀拉哈巴克乡、阿西尔乡接壤，南与托里县库普乡交界，西至边境线，北与阿西尔乡、兵团第九师164团接壤，是地区发展小城镇建设的重要乡镇之一，也是地区唯一的口岸乡镇。</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乌宗阿尕什村位于塔城市以南26公里，距中哈边境线约1.2公里。</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吐马克齐村位于塔城市以南7公里距镇政府9公里、东临五里村、西临163团、南临奇巴拉尕什村、北临园艺社区。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二工镇二工村位于塔城市区东南角。</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2、地形地貌</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地区地势复杂。北部为西准噶尔山地，南部为北天山山地，而东、中部属准噶尔盆地。南北高，东、中部低，呈马鞍形。北部的塔尔巴哈台山、巴尔鲁克山、萨吾尔山和南部的北天山中段依连哈比尔尕山，山高岭峻，群峰叠嶂，白雪皑皑，终年不化，松林绵延，四季常青。塔城盆地水草丰茂，沃野千里；铁厂沟、和布克谷地地下宝藏量大质优，前景看好；乌苏、沙湾两县面向天山雄峰，北靠浩瀚大漠，境内绿洲、乡镇星罗棋布。塔城市境北部高山绵延，丘陵起伏；中部系广阔的洪积扇平原；南部沼泽、洼地星罗棋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本地区构造单元属准噶尔中新生代坳陷之凹陷。包括二叠系及整个中生代沉积区，该凹陷发育于二叠系早期，受印支、燕山运动的影响使各时代地层均有不同程度的皱褶。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凹陷区主要为鼻状背斜褶皱构造，背斜之核部常由二叠系、三叠系组成，两翼由侏罗系及白垩系组成，轴线西部近南北向，向南倾伏，在东部则向东西向转化，向西倾伏。褶皱之核部开阔，顶部产状平缓，两翼对称。该区域没有大的断裂构造，地质条件较好。</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塔城市三面环山，向西开口，南部沼泽洼地，星罗棋布，形成闻名的库鲁斯台大草原，总面积389万亩。塔城市市境北部高山绵延，丘陵起伏;中部系广阔的洪积扇平原;南部沼泽、洼地星罗棋布。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3、土地资源</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塔城市有森林面积4700公顷，耕地面积130万亩，草场面积517万亩，播种面积59112.2公顷，粮食播种面积27148.47公顷，经济作物播种面积23860公顷，其它作物播种面积8103.73公顷。</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4、水资源</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塔城境内水资源丰富，境内有14条河流，沟溪43条，泉水上千眼。故也被称之为“离海洋最远的千泉口岸之城”。塔城水草丰美，气候适宜，土地肥沃，矿产丰富，素有“准噶尔门户”之称。塔城是全疆人均占有绿地面积最多的城市，是全疆唯一有五条河流穿城而过的城市，是全疆唯一拥有达斡尔民族乡的城市，是全国空气质量最好的城市之一，是全疆空气质量最好的城市。在中国环境规划院公布的全国城市大气环境承载力评估排名中，塔城市名列第七，是全疆唯一一个进入前十名的城市。</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5、气候</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项目区属温带大陆干旱气候区，四季交替不分明，春季气温回升快而不稳定，夏季短促而炎热，冬季漫长而酷冷。</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6、人口、民族</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二工镇辖区18个村队、5个社区.总人口7865户24095人，其中汉族13827人、维吾尔族624人、哈萨克族3864人、回族3015人、俄罗斯族170人、蒙古族131人、达斡尔族167人、其他民族2297人。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二工镇乌宗啊尕什村户籍人口127户348人，主要由哈、柯、汉等8个民族组成，少数民族占比96%。分别居住在定居点34户、喇叭山14户、巴什拜大桥7户、塔城61户人、河坝北11户五个片区。</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二工镇吐马克齐村户籍160户540人,常住户84户187人，由汉、回、达斡尔、哈萨克、锡伯等5个民族组成，其中汉族人口415人，占总人口87.24%，少数民族132人，占总人口数12.76%。</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二工镇二工村户籍人口432户1345人，常住人口263户650人，由汉、回、东乡、蒙古、俄罗斯、哈萨克、锡伯族、壮族、藏族、达斡尔10个民族组成。</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7、经济</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二工镇辖区总面积1049.61平方公里，耕地面积19.67万亩、草场232.06万亩、林地3.158亩、边境线57.5公里。2022年人均收入19694元。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二工镇乌宗阿尕什村是一个以畜牧业为主的纯牧业村，辖区面积13.8万亩，放牧草场面积13.2万亩, 有4000亩打草场，1800亩饲草料地，全村各类牲畜15769头只。其中，羊13654只、牛1299头、马484匹、骆驼42峰、鸡鸭鹅共计290只。2022年村集体经济收入6万元，人均纯收入16983元。</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二工镇吐马克齐村全村总面积7000亩，林地面积300亩、耕地6742亩、人均耕地面积11亩、主要以种植玉米为主为主。特色种植面积50亩。2022年村民人均收入为1.88万元左右。</w:t>
      </w:r>
    </w:p>
    <w:p>
      <w:pPr>
        <w:spacing w:line="560" w:lineRule="exact"/>
        <w:ind w:firstLine="640" w:firstLineChars="200"/>
        <w:rPr>
          <w:rFonts w:hint="eastAsia"/>
          <w:sz w:val="32"/>
          <w:szCs w:val="32"/>
          <w:lang w:val="en-US" w:eastAsia="zh-CN"/>
        </w:rPr>
      </w:pPr>
      <w:r>
        <w:rPr>
          <w:rFonts w:hint="eastAsia" w:ascii="仿宋" w:hAnsi="仿宋" w:eastAsia="仿宋" w:cs="仿宋"/>
          <w:sz w:val="32"/>
          <w:szCs w:val="32"/>
          <w:lang w:val="en-US" w:eastAsia="zh-CN"/>
        </w:rPr>
        <w:t>二工镇二工村全村总耕地面积2706亩，人均土地面积3.2亩，以种植玉米为主。2022年村集体经济收入16万元，人均纯收入1.88万元。</w:t>
      </w:r>
    </w:p>
    <w:p>
      <w:pPr>
        <w:pStyle w:val="25"/>
        <w:spacing w:line="500" w:lineRule="exact"/>
        <w:ind w:firstLine="0" w:firstLineChars="0"/>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2.项目立项情况</w:t>
      </w:r>
      <w:bookmarkEnd w:id="22"/>
      <w:bookmarkEnd w:id="23"/>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4" w:name="_Toc24342"/>
      <w:bookmarkStart w:id="25" w:name="_Toc12007"/>
      <w:r>
        <w:rPr>
          <w:rFonts w:hint="eastAsia" w:ascii="楷体_GB2312" w:hAnsi="楷体_GB2312" w:eastAsia="楷体_GB2312" w:cs="楷体_GB2312"/>
          <w:sz w:val="32"/>
          <w:szCs w:val="32"/>
          <w:lang w:val="en-US" w:eastAsia="zh-CN"/>
        </w:rPr>
        <w:t>2.1项目建设依据</w:t>
      </w:r>
      <w:bookmarkEnd w:id="24"/>
      <w:bookmarkEnd w:id="25"/>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中华人民共和国</w:t>
      </w:r>
      <w:r>
        <w:rPr>
          <w:rFonts w:hint="eastAsia" w:ascii="仿宋" w:hAnsi="仿宋" w:eastAsia="仿宋" w:cs="仿宋"/>
          <w:sz w:val="32"/>
          <w:szCs w:val="32"/>
        </w:rPr>
        <w:t>国民经济和社会发展第十四个五年规划和二〇三五年远景目标》；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（2）中共中央</w:t>
      </w:r>
      <w:r>
        <w:rPr>
          <w:rFonts w:hint="eastAsia" w:ascii="仿宋" w:hAnsi="仿宋" w:eastAsia="仿宋" w:cs="仿宋"/>
          <w:sz w:val="32"/>
          <w:szCs w:val="32"/>
          <w:lang w:eastAsia="zh-CN"/>
        </w:rPr>
        <w:t>、</w:t>
      </w:r>
      <w:r>
        <w:rPr>
          <w:rFonts w:hint="eastAsia" w:ascii="仿宋" w:hAnsi="仿宋" w:eastAsia="仿宋" w:cs="仿宋"/>
          <w:sz w:val="32"/>
          <w:szCs w:val="32"/>
        </w:rPr>
        <w:t>国务院《关于实施乡村振兴战略的意见》；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（3）《自治区全面推进乡村振兴示范引领县创建标准（试行）》的通知；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（4）《自治区全面推进乡村振兴示范乡镇创建标准（试行）》的通知；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（5）《自治区全面推进乡村振兴示范村创建标准（试行）》的通知；</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（6）《新疆维吾尔自治区财政衔接推进乡村振兴补助资金（巩固拓展脱贫攻坚成果和乡村振兴任务）项目管理办法（暂行）》的通知 新乡振（2021）32号</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（7）《新疆维吾尔自治区财政衔接推进乡村振兴补助资金管理办法》的通知 新财规（2021）11号</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塔城市</w:t>
      </w:r>
      <w:r>
        <w:rPr>
          <w:rFonts w:hint="eastAsia" w:ascii="仿宋" w:hAnsi="仿宋" w:eastAsia="仿宋" w:cs="仿宋"/>
          <w:sz w:val="32"/>
          <w:szCs w:val="32"/>
        </w:rPr>
        <w:t>县国民经济和社会发展第十四个五年规划》；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（9）《建设项目经济评价方法与参数》第三版；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（10）《投资项目可行性研究指南》（试用版）；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（11）建设单位提供的其他与项目有关的资料。</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6" w:name="_Toc15348"/>
      <w:bookmarkStart w:id="27" w:name="_Toc12615"/>
      <w:r>
        <w:rPr>
          <w:rFonts w:hint="eastAsia" w:ascii="楷体_GB2312" w:hAnsi="楷体_GB2312" w:eastAsia="楷体_GB2312" w:cs="楷体_GB2312"/>
          <w:sz w:val="32"/>
          <w:szCs w:val="32"/>
          <w:lang w:val="en-US" w:eastAsia="zh-CN"/>
        </w:rPr>
        <w:t>2.2建设内容及规模</w:t>
      </w:r>
      <w:bookmarkEnd w:id="26"/>
      <w:bookmarkEnd w:id="27"/>
    </w:p>
    <w:p>
      <w:pPr>
        <w:pStyle w:val="25"/>
        <w:spacing w:line="500" w:lineRule="exact"/>
        <w:ind w:firstLine="640" w:firstLineChars="200"/>
        <w:outlineLvl w:val="1"/>
        <w:rPr>
          <w:rFonts w:hint="eastAsia" w:ascii="仿宋" w:hAnsi="仿宋" w:eastAsia="仿宋" w:cs="仿宋"/>
          <w:sz w:val="32"/>
          <w:szCs w:val="32"/>
          <w:lang w:val="en-US" w:eastAsia="zh-CN"/>
        </w:rPr>
      </w:pPr>
      <w:bookmarkStart w:id="28" w:name="_Toc6510"/>
      <w:bookmarkStart w:id="29" w:name="_Toc13514"/>
      <w:r>
        <w:rPr>
          <w:rFonts w:hint="eastAsia" w:ascii="仿宋" w:hAnsi="仿宋" w:eastAsia="仿宋" w:cs="仿宋"/>
          <w:sz w:val="32"/>
          <w:szCs w:val="32"/>
          <w:lang w:val="en-US" w:eastAsia="zh-CN"/>
        </w:rPr>
        <w:t>本项目总投资237，在天羊牧业园区建设3座800平方米圈舍及配套设施，用于二工村、乌宗阿尕什村、吐马克齐村发展本村畜牧业，固定资产收益由村集体收益（最终已设计为准）。</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2.3项目建设的必要性和可行性</w:t>
      </w:r>
      <w:bookmarkEnd w:id="28"/>
      <w:bookmarkEnd w:id="29"/>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（一）建设的必要性</w:t>
      </w:r>
    </w:p>
    <w:p>
      <w:pPr>
        <w:pStyle w:val="25"/>
        <w:spacing w:line="500" w:lineRule="exact"/>
        <w:ind w:firstLine="640" w:firstLineChars="200"/>
        <w:outlineLvl w:val="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建设是对本地畜牧产业的改良提高，促进其发展的需要。塔城市农牧区优势互补、良性循环的发展格局业已形成，农区养殖专业户的日益增加为农区畜牧业的发展积累了丰富的经验，牧民定居和牧区生产条件的改善及技术措施的推广应用，已为畜牧业的稳定发展奠定了坚实的基础。本产业化建设项目以加工带动养殖，以繁育带动发展，以此促进项目区养殖业的发展。</w:t>
      </w:r>
    </w:p>
    <w:p>
      <w:pPr>
        <w:pStyle w:val="25"/>
        <w:spacing w:line="500" w:lineRule="exact"/>
        <w:ind w:firstLine="640" w:firstLineChars="200"/>
        <w:outlineLvl w:val="1"/>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二工镇二工村、乌宗阿尕什村、吐马克齐村，村集体经济薄弱、收入单一，项目落地后，通过租赁方式将暖圈对外承包，二工村、乌宗阿尕什村、吐马克齐村通过收取项目资产租赁费获取收益，进一步发展壮大村集体经济。</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（二）建设可行性</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1、政策条件可行</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党的二十大指出，实施乡村振兴战略，发展产业，进一步壮大集体经济，顺应广大农民群众过上美好生活。</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《中华人民共和国国民经济和社会发展第十四个五年规划和二〇三五年远景目标》指出加强产业发展。</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2、政府重视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结合二工镇辖区二工村、乌宗阿尕什村、吐马克齐村产业结构，大力发展养殖产业，壮大社区集体经济，二工镇人民政府高度重视，成立了项目领导小组，为项目建设提供了组织保障。</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3、时机成熟</w:t>
      </w:r>
    </w:p>
    <w:p>
      <w:pPr>
        <w:spacing w:line="560" w:lineRule="exact"/>
        <w:ind w:firstLine="640" w:firstLineChars="200"/>
        <w:rPr>
          <w:rFonts w:hint="eastAsia"/>
          <w:sz w:val="32"/>
          <w:szCs w:val="32"/>
          <w:lang w:val="en-US" w:eastAsia="zh-CN"/>
        </w:rPr>
      </w:pPr>
      <w:r>
        <w:rPr>
          <w:rFonts w:hint="eastAsia" w:ascii="仿宋" w:hAnsi="仿宋" w:eastAsia="仿宋" w:cs="仿宋"/>
          <w:sz w:val="32"/>
          <w:szCs w:val="32"/>
          <w:lang w:val="en-US" w:eastAsia="zh-CN"/>
        </w:rPr>
        <w:t>近年来，塔城市二工镇人民政府保持了持续、快速、健康发展的良好势头。项目的实施，将进一步促进养殖业发展，改善辖区二工村、乌宗阿尕什村、吐马克齐村的集体经济，满足项目辐射区社会经济发展的需要，具有明显的经济效益及社会效益。</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4、项目适中</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从二工镇经济社会发展的实际情况分析，项目建设切合实际，将使二工镇人民享受到更好的生活环境。</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综上所述，本项目建设目标明确，项目符合国家乡村振兴战略政策要求，符合国家和塔城市发展的实际。因此，项目实施从国家政策、技术、资金及组织管理等各层面分析都是可行的。</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30" w:name="page20"/>
      <w:bookmarkEnd w:id="30"/>
      <w:bookmarkStart w:id="31" w:name="_Toc27210"/>
      <w:bookmarkStart w:id="32" w:name="_Toc19590"/>
      <w:bookmarkStart w:id="33" w:name="_Toc4460"/>
      <w:r>
        <w:rPr>
          <w:rFonts w:hint="eastAsia" w:ascii="楷体_GB2312" w:hAnsi="楷体_GB2312" w:eastAsia="楷体_GB2312" w:cs="楷体_GB2312"/>
          <w:sz w:val="32"/>
          <w:szCs w:val="32"/>
          <w:lang w:val="en-US" w:eastAsia="zh-CN"/>
        </w:rPr>
        <w:t xml:space="preserve">2.4 </w:t>
      </w:r>
      <w:bookmarkEnd w:id="31"/>
      <w:bookmarkEnd w:id="32"/>
      <w:bookmarkEnd w:id="33"/>
      <w:bookmarkStart w:id="34" w:name="_Toc15438"/>
      <w:bookmarkStart w:id="35" w:name="_Toc1459"/>
      <w:r>
        <w:rPr>
          <w:rFonts w:hint="eastAsia" w:ascii="楷体_GB2312" w:hAnsi="楷体_GB2312" w:eastAsia="楷体_GB2312" w:cs="楷体_GB2312"/>
          <w:sz w:val="32"/>
          <w:szCs w:val="32"/>
          <w:lang w:val="en-US" w:eastAsia="zh-CN"/>
        </w:rPr>
        <w:t>综合条件评价</w:t>
      </w:r>
      <w:bookmarkEnd w:id="34"/>
      <w:bookmarkEnd w:id="35"/>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本项目是深入贯彻国家提出的乡村振兴战略精神，也符合“乡村振兴”的政策导向，直接关系到当地农民生活质量能否大幅度提高，关系到项目区全面建成</w:t>
      </w:r>
      <w:r>
        <w:rPr>
          <w:rFonts w:hint="eastAsia" w:ascii="仿宋" w:eastAsia="仿宋" w:cs="仿宋"/>
          <w:sz w:val="32"/>
          <w:szCs w:val="32"/>
          <w:lang w:val="en-US" w:eastAsia="zh-CN" w:bidi="ar-SA"/>
        </w:rPr>
        <w:t>乡村振兴</w:t>
      </w:r>
      <w:r>
        <w:rPr>
          <w:rFonts w:hint="eastAsia" w:ascii="仿宋" w:eastAsia="仿宋" w:cs="仿宋"/>
          <w:sz w:val="32"/>
          <w:szCs w:val="32"/>
          <w:lang w:bidi="ar-SA"/>
        </w:rPr>
        <w:t>目标能否如期实现，关系到当地党执政的群众基础能否巩固和加强，意义重大而深远。</w:t>
      </w:r>
    </w:p>
    <w:p>
      <w:pPr>
        <w:kinsoku/>
        <w:wordWrap/>
        <w:overflowPunct/>
        <w:topLinePunct w:val="0"/>
        <w:autoSpaceDE/>
        <w:autoSpaceDN/>
        <w:bidi w:val="0"/>
        <w:spacing w:line="500" w:lineRule="exact"/>
        <w:ind w:left="0" w:firstLine="640" w:firstLineChars="200"/>
        <w:rPr>
          <w:color w:val="auto"/>
          <w:sz w:val="32"/>
          <w:szCs w:val="32"/>
        </w:rPr>
      </w:pPr>
      <w:r>
        <w:rPr>
          <w:rFonts w:hint="eastAsia" w:ascii="仿宋" w:eastAsia="仿宋" w:cs="仿宋"/>
          <w:sz w:val="32"/>
          <w:szCs w:val="32"/>
          <w:lang w:bidi="ar-SA"/>
        </w:rPr>
        <w:t>同时，项目建设可加快完善</w:t>
      </w:r>
      <w:r>
        <w:rPr>
          <w:rFonts w:hint="eastAsia" w:ascii="仿宋" w:eastAsia="仿宋" w:cs="仿宋"/>
          <w:sz w:val="32"/>
          <w:szCs w:val="32"/>
          <w:lang w:val="en-US" w:eastAsia="zh-CN" w:bidi="ar-SA"/>
        </w:rPr>
        <w:t>二工镇</w:t>
      </w:r>
      <w:r>
        <w:rPr>
          <w:rFonts w:hint="eastAsia" w:ascii="仿宋" w:eastAsia="仿宋" w:cs="仿宋"/>
          <w:sz w:val="32"/>
          <w:szCs w:val="32"/>
          <w:lang w:bidi="ar-SA"/>
        </w:rPr>
        <w:t>农村基础服务设施，</w:t>
      </w:r>
      <w:r>
        <w:rPr>
          <w:rFonts w:hint="eastAsia" w:ascii="仿宋" w:eastAsia="仿宋" w:cs="仿宋"/>
          <w:sz w:val="32"/>
          <w:szCs w:val="32"/>
          <w:lang w:val="en-US" w:eastAsia="zh-CN" w:bidi="ar-SA"/>
        </w:rPr>
        <w:t>大力发展养殖业，增加社区集体经济，</w:t>
      </w:r>
      <w:r>
        <w:rPr>
          <w:rFonts w:hint="eastAsia" w:ascii="仿宋" w:eastAsia="仿宋" w:cs="仿宋"/>
          <w:sz w:val="32"/>
          <w:szCs w:val="32"/>
          <w:lang w:bidi="ar-SA"/>
        </w:rPr>
        <w:t>改善项目区农村环境，加快推进美丽乡村建设，以人文本，为民办事，产生良好的社会效益。</w:t>
      </w:r>
    </w:p>
    <w:p>
      <w:pPr>
        <w:pStyle w:val="25"/>
        <w:spacing w:line="500" w:lineRule="exact"/>
        <w:ind w:firstLine="0" w:firstLineChars="0"/>
        <w:outlineLvl w:val="0"/>
        <w:rPr>
          <w:rFonts w:hint="eastAsia" w:ascii="黑体" w:hAnsi="黑体" w:eastAsia="黑体" w:cs="黑体"/>
          <w:b w:val="0"/>
          <w:bCs w:val="0"/>
          <w:sz w:val="32"/>
          <w:szCs w:val="32"/>
        </w:rPr>
      </w:pPr>
      <w:bookmarkStart w:id="36" w:name="_Toc1589"/>
      <w:bookmarkStart w:id="37" w:name="_Toc2890"/>
      <w:r>
        <w:rPr>
          <w:rFonts w:hint="eastAsia" w:ascii="黑体" w:hAnsi="黑体" w:eastAsia="黑体" w:cs="黑体"/>
          <w:b w:val="0"/>
          <w:bCs w:val="0"/>
          <w:sz w:val="32"/>
          <w:szCs w:val="32"/>
        </w:rPr>
        <w:t>3.设计或技术方案</w:t>
      </w:r>
      <w:bookmarkEnd w:id="36"/>
      <w:bookmarkEnd w:id="37"/>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38" w:name="_Toc9120"/>
      <w:bookmarkStart w:id="39" w:name="_Toc4206"/>
      <w:r>
        <w:rPr>
          <w:rFonts w:hint="eastAsia" w:ascii="楷体_GB2312" w:hAnsi="楷体_GB2312" w:eastAsia="楷体_GB2312" w:cs="楷体_GB2312"/>
          <w:sz w:val="32"/>
          <w:szCs w:val="32"/>
          <w:lang w:val="en-US" w:eastAsia="zh-CN"/>
        </w:rPr>
        <w:t>3.1项目设计（技术依据）</w:t>
      </w:r>
      <w:bookmarkEnd w:id="38"/>
      <w:bookmarkEnd w:id="39"/>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1、《民用建筑设计</w:t>
      </w:r>
      <w:r>
        <w:rPr>
          <w:rFonts w:hint="eastAsia" w:ascii="仿宋" w:eastAsia="仿宋" w:cs="仿宋"/>
          <w:sz w:val="32"/>
          <w:szCs w:val="32"/>
          <w:lang w:eastAsia="zh-CN" w:bidi="ar-SA"/>
        </w:rPr>
        <w:t>统一标准</w:t>
      </w:r>
      <w:r>
        <w:rPr>
          <w:rFonts w:hint="eastAsia" w:ascii="仿宋" w:eastAsia="仿宋" w:cs="仿宋"/>
          <w:sz w:val="32"/>
          <w:szCs w:val="32"/>
          <w:lang w:bidi="ar-SA"/>
        </w:rPr>
        <w:t>》GB50352。</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2、《工程建设标准强制性条文》（房屋建筑部分）。</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3、《建筑设计防火规范》GB50016。</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4、《建筑抗震设计规范》GB50011。</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5、《建筑结构可靠</w:t>
      </w:r>
      <w:r>
        <w:rPr>
          <w:rFonts w:hint="eastAsia" w:ascii="仿宋" w:eastAsia="仿宋" w:cs="仿宋"/>
          <w:sz w:val="32"/>
          <w:szCs w:val="32"/>
          <w:lang w:eastAsia="zh-CN" w:bidi="ar-SA"/>
        </w:rPr>
        <w:t>性</w:t>
      </w:r>
      <w:r>
        <w:rPr>
          <w:rFonts w:hint="eastAsia" w:ascii="仿宋" w:eastAsia="仿宋" w:cs="仿宋"/>
          <w:sz w:val="32"/>
          <w:szCs w:val="32"/>
          <w:lang w:bidi="ar-SA"/>
        </w:rPr>
        <w:t>设计统一标准》GB50068。</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6、《建筑结构荷载规范》GB50009。</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7、《砌体结构设计规范》GB50003。</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8、《混凝土结构设计规范》GB50010。</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9、《建筑地基基础设计规范》GB50007。</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10、《建筑地基处理技术规范》JGJ79。</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11、《办公建筑设计规范》JGJ67。</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12、《公共建筑节能设计标准新疆实施细则》XJJ034。</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bidi="ar-SA"/>
        </w:rPr>
        <w:t>13、《建筑灭火器配置设计规范》GB50140。</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bidi="ar-SA"/>
        </w:rPr>
      </w:pPr>
      <w:r>
        <w:rPr>
          <w:rFonts w:hint="eastAsia" w:ascii="仿宋" w:eastAsia="仿宋" w:cs="仿宋"/>
          <w:sz w:val="32"/>
          <w:szCs w:val="32"/>
          <w:lang w:val="en-US" w:eastAsia="zh-CN" w:bidi="ar-SA"/>
        </w:rPr>
        <w:t>14、</w:t>
      </w:r>
      <w:r>
        <w:rPr>
          <w:rFonts w:hint="eastAsia" w:ascii="仿宋" w:eastAsia="仿宋" w:cs="仿宋"/>
          <w:sz w:val="32"/>
          <w:szCs w:val="32"/>
          <w:lang w:bidi="ar-SA"/>
        </w:rPr>
        <w:t>《建筑照明设计标准》GB50034。</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40" w:name="_Toc25068"/>
      <w:bookmarkStart w:id="41" w:name="_Toc18362"/>
      <w:r>
        <w:rPr>
          <w:rFonts w:hint="eastAsia" w:ascii="楷体_GB2312" w:hAnsi="楷体_GB2312" w:eastAsia="楷体_GB2312" w:cs="楷体_GB2312"/>
          <w:sz w:val="32"/>
          <w:szCs w:val="32"/>
          <w:lang w:val="en-US" w:eastAsia="zh-CN"/>
        </w:rPr>
        <w:t>3.2建设内容、规模、标准、投资设计等明细资料</w:t>
      </w:r>
      <w:bookmarkEnd w:id="40"/>
      <w:bookmarkEnd w:id="41"/>
    </w:p>
    <w:p>
      <w:pPr>
        <w:kinsoku/>
        <w:wordWrap/>
        <w:overflowPunct/>
        <w:topLinePunct w:val="0"/>
        <w:autoSpaceDE/>
        <w:autoSpaceDN/>
        <w:bidi w:val="0"/>
        <w:spacing w:line="500" w:lineRule="exact"/>
        <w:ind w:left="0"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计划本项目总投资237万元，在天羊牧业园区建设3座800平方米圈舍及配套设施，用于二工村、乌宗阿尕什村、吐马克齐村发展本村畜牧业，固定资产收益由村集体收益（最终已设计为准）。</w:t>
      </w:r>
    </w:p>
    <w:p>
      <w:pPr>
        <w:spacing w:after="0" w:line="518" w:lineRule="exact"/>
        <w:ind w:right="146" w:firstLine="640" w:firstLineChars="200"/>
        <w:jc w:val="both"/>
        <w:rPr>
          <w:rFonts w:hint="default" w:ascii="仿宋" w:hAnsi="仿宋" w:eastAsia="仿宋" w:cs="仿宋"/>
          <w:color w:val="auto"/>
          <w:sz w:val="32"/>
          <w:szCs w:val="32"/>
          <w:lang w:val="en-US" w:eastAsia="zh-CN"/>
        </w:rPr>
      </w:pPr>
      <w:r>
        <w:rPr>
          <w:rFonts w:hint="eastAsia" w:ascii="仿宋" w:eastAsia="仿宋" w:cs="仿宋"/>
          <w:color w:val="auto"/>
          <w:sz w:val="32"/>
          <w:szCs w:val="32"/>
          <w:lang w:bidi="ar-SA"/>
        </w:rPr>
        <w:t>项目资金来源：</w:t>
      </w:r>
      <w:r>
        <w:rPr>
          <w:rFonts w:hint="eastAsia" w:ascii="仿宋" w:eastAsia="仿宋" w:cs="仿宋"/>
          <w:color w:val="auto"/>
          <w:sz w:val="32"/>
          <w:szCs w:val="32"/>
          <w:lang w:eastAsia="zh-CN" w:bidi="ar-SA"/>
        </w:rPr>
        <w:t>项目总投资</w:t>
      </w:r>
      <w:r>
        <w:rPr>
          <w:rFonts w:hint="eastAsia" w:ascii="仿宋" w:eastAsia="仿宋" w:cs="仿宋"/>
          <w:color w:val="auto"/>
          <w:sz w:val="32"/>
          <w:szCs w:val="32"/>
          <w:lang w:val="en-US" w:eastAsia="zh-CN" w:bidi="ar-SA"/>
        </w:rPr>
        <w:t>237万元</w:t>
      </w:r>
      <w:r>
        <w:rPr>
          <w:rFonts w:hint="eastAsia" w:ascii="仿宋" w:eastAsia="仿宋" w:cs="仿宋"/>
          <w:color w:val="auto"/>
          <w:sz w:val="32"/>
          <w:szCs w:val="32"/>
          <w:lang w:eastAsia="zh-CN" w:bidi="ar-SA"/>
        </w:rPr>
        <w:t>元</w:t>
      </w:r>
      <w:r>
        <w:rPr>
          <w:rFonts w:hint="eastAsia" w:ascii="仿宋" w:eastAsia="仿宋" w:cs="仿宋"/>
          <w:color w:val="auto"/>
          <w:sz w:val="32"/>
          <w:szCs w:val="32"/>
          <w:lang w:bidi="ar-SA"/>
        </w:rPr>
        <w:t>，</w:t>
      </w:r>
      <w:r>
        <w:rPr>
          <w:rFonts w:hint="eastAsia" w:ascii="仿宋" w:eastAsia="仿宋" w:cs="仿宋"/>
          <w:color w:val="auto"/>
          <w:sz w:val="32"/>
          <w:szCs w:val="32"/>
          <w:lang w:eastAsia="zh-CN" w:bidi="ar-SA"/>
        </w:rPr>
        <w:t>中央衔接推进乡村振兴补助资金</w:t>
      </w:r>
      <w:r>
        <w:rPr>
          <w:rFonts w:hint="eastAsia" w:ascii="仿宋" w:eastAsia="仿宋" w:cs="仿宋"/>
          <w:color w:val="auto"/>
          <w:sz w:val="32"/>
          <w:szCs w:val="32"/>
          <w:lang w:val="en-US" w:eastAsia="zh-CN" w:bidi="ar-SA"/>
        </w:rPr>
        <w:t>237万</w:t>
      </w:r>
      <w:r>
        <w:rPr>
          <w:rFonts w:hint="eastAsia" w:ascii="仿宋" w:eastAsia="仿宋" w:cs="仿宋"/>
          <w:color w:val="auto"/>
          <w:sz w:val="32"/>
          <w:szCs w:val="32"/>
          <w:lang w:eastAsia="zh-CN" w:bidi="ar-SA"/>
        </w:rPr>
        <w:t>元。</w:t>
      </w:r>
    </w:p>
    <w:p>
      <w:pPr>
        <w:pStyle w:val="25"/>
        <w:spacing w:line="500" w:lineRule="exact"/>
        <w:ind w:firstLine="0" w:firstLineChars="0"/>
        <w:outlineLvl w:val="0"/>
        <w:rPr>
          <w:rFonts w:hint="eastAsia" w:ascii="黑体" w:hAnsi="黑体" w:eastAsia="黑体" w:cs="黑体"/>
          <w:b w:val="0"/>
          <w:bCs w:val="0"/>
          <w:sz w:val="32"/>
          <w:szCs w:val="32"/>
          <w:lang w:val="en-US" w:eastAsia="zh-CN"/>
        </w:rPr>
      </w:pPr>
      <w:bookmarkStart w:id="42" w:name="_Toc29785"/>
      <w:bookmarkStart w:id="43" w:name="_Toc2963"/>
      <w:r>
        <w:rPr>
          <w:rFonts w:hint="eastAsia" w:ascii="黑体" w:hAnsi="黑体" w:eastAsia="黑体" w:cs="黑体"/>
          <w:b w:val="0"/>
          <w:bCs w:val="0"/>
          <w:sz w:val="32"/>
          <w:szCs w:val="32"/>
          <w:lang w:val="en-US" w:eastAsia="zh-CN"/>
        </w:rPr>
        <w:t>4.投资概算和资金筹措</w:t>
      </w:r>
      <w:bookmarkEnd w:id="42"/>
      <w:bookmarkEnd w:id="43"/>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44" w:name="_Toc10349"/>
      <w:bookmarkStart w:id="45" w:name="_Toc17126"/>
      <w:r>
        <w:rPr>
          <w:rFonts w:hint="eastAsia" w:ascii="楷体_GB2312" w:hAnsi="楷体_GB2312" w:eastAsia="楷体_GB2312" w:cs="楷体_GB2312"/>
          <w:sz w:val="32"/>
          <w:szCs w:val="32"/>
          <w:lang w:val="en-US" w:eastAsia="zh-CN"/>
        </w:rPr>
        <w:t>4.1项目总投资</w:t>
      </w:r>
      <w:bookmarkEnd w:id="44"/>
      <w:bookmarkEnd w:id="45"/>
    </w:p>
    <w:p>
      <w:pPr>
        <w:pStyle w:val="25"/>
        <w:spacing w:line="500" w:lineRule="exact"/>
        <w:ind w:firstLine="640" w:firstLineChars="200"/>
        <w:outlineLvl w:val="1"/>
        <w:rPr>
          <w:rFonts w:hint="eastAsia" w:ascii="仿宋" w:hAnsi="仿宋" w:eastAsia="仿宋" w:cs="仿宋"/>
          <w:sz w:val="32"/>
          <w:szCs w:val="32"/>
          <w:lang w:val="en-US" w:eastAsia="zh-CN" w:bidi="ar-SA"/>
        </w:rPr>
      </w:pPr>
      <w:bookmarkStart w:id="46" w:name="_Toc28195"/>
      <w:bookmarkStart w:id="47" w:name="_Toc13874"/>
      <w:r>
        <w:rPr>
          <w:rFonts w:hint="eastAsia" w:ascii="仿宋" w:hAnsi="仿宋" w:eastAsia="仿宋" w:cs="仿宋"/>
          <w:sz w:val="32"/>
          <w:szCs w:val="32"/>
          <w:lang w:val="en-US" w:eastAsia="zh-CN" w:bidi="ar-SA"/>
        </w:rPr>
        <w:t>本项目总投资237万元元，其中：建筑安装工程费用266.98万元，占项目总投资的97%；前期预备费用7.02万元，占项目总投资的3%。</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4.2项目概算</w:t>
      </w:r>
      <w:bookmarkEnd w:id="46"/>
      <w:bookmarkEnd w:id="47"/>
    </w:p>
    <w:tbl>
      <w:tblPr>
        <w:tblStyle w:val="18"/>
        <w:tblW w:w="5025" w:type="pct"/>
        <w:jc w:val="center"/>
        <w:tblLayout w:type="autofit"/>
        <w:tblCellMar>
          <w:top w:w="0" w:type="dxa"/>
          <w:left w:w="0" w:type="dxa"/>
          <w:bottom w:w="0" w:type="dxa"/>
          <w:right w:w="0" w:type="dxa"/>
        </w:tblCellMar>
      </w:tblPr>
      <w:tblGrid>
        <w:gridCol w:w="412"/>
        <w:gridCol w:w="1515"/>
        <w:gridCol w:w="984"/>
        <w:gridCol w:w="877"/>
        <w:gridCol w:w="880"/>
        <w:gridCol w:w="877"/>
        <w:gridCol w:w="722"/>
        <w:gridCol w:w="453"/>
        <w:gridCol w:w="453"/>
        <w:gridCol w:w="1205"/>
      </w:tblGrid>
      <w:tr>
        <w:tblPrEx>
          <w:tblCellMar>
            <w:top w:w="0" w:type="dxa"/>
            <w:left w:w="0" w:type="dxa"/>
            <w:bottom w:w="0" w:type="dxa"/>
            <w:right w:w="0" w:type="dxa"/>
          </w:tblCellMar>
        </w:tblPrEx>
        <w:trPr>
          <w:trHeight w:val="414" w:hRule="atLeast"/>
          <w:jc w:val="center"/>
        </w:trPr>
        <w:tc>
          <w:tcPr>
            <w:tcW w:w="246"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序</w:t>
            </w:r>
          </w:p>
        </w:tc>
        <w:tc>
          <w:tcPr>
            <w:tcW w:w="9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rPr>
            </w:pPr>
          </w:p>
        </w:tc>
        <w:tc>
          <w:tcPr>
            <w:tcW w:w="2589" w:type="pct"/>
            <w:gridSpan w:val="5"/>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估   算  价  值  (万元)</w:t>
            </w:r>
          </w:p>
        </w:tc>
        <w:tc>
          <w:tcPr>
            <w:tcW w:w="1259" w:type="pct"/>
            <w:gridSpan w:val="3"/>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技 术 经 济 指 标</w:t>
            </w:r>
          </w:p>
        </w:tc>
      </w:tr>
      <w:tr>
        <w:tblPrEx>
          <w:tblCellMar>
            <w:top w:w="0" w:type="dxa"/>
            <w:left w:w="0" w:type="dxa"/>
            <w:bottom w:w="0" w:type="dxa"/>
            <w:right w:w="0" w:type="dxa"/>
          </w:tblCellMar>
        </w:tblPrEx>
        <w:trPr>
          <w:trHeight w:val="309" w:hRule="atLeast"/>
          <w:jc w:val="center"/>
        </w:trPr>
        <w:tc>
          <w:tcPr>
            <w:tcW w:w="246" w:type="pct"/>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号</w:t>
            </w:r>
          </w:p>
        </w:tc>
        <w:tc>
          <w:tcPr>
            <w:tcW w:w="9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工程或费用名程</w:t>
            </w:r>
          </w:p>
        </w:tc>
        <w:tc>
          <w:tcPr>
            <w:tcW w:w="587" w:type="pct"/>
            <w:tcBorders>
              <w:top w:val="single" w:color="000000" w:sz="4" w:space="0"/>
              <w:left w:val="single" w:color="000000" w:sz="4" w:space="0"/>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kern w:val="0"/>
                <w:sz w:val="21"/>
                <w:szCs w:val="21"/>
                <w:lang w:bidi="ar"/>
              </w:rPr>
              <w:t>建 筑</w:t>
            </w:r>
            <w:r>
              <w:rPr>
                <w:rFonts w:hint="eastAsia" w:ascii="仿宋_GB2312" w:hAnsi="仿宋_GB2312" w:eastAsia="仿宋_GB2312" w:cs="仿宋_GB2312"/>
                <w:color w:val="auto"/>
                <w:kern w:val="0"/>
                <w:sz w:val="21"/>
                <w:szCs w:val="21"/>
                <w:lang w:eastAsia="zh-CN" w:bidi="ar"/>
              </w:rPr>
              <w:t>工程</w:t>
            </w:r>
          </w:p>
        </w:tc>
        <w:tc>
          <w:tcPr>
            <w:tcW w:w="523"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kern w:val="0"/>
                <w:sz w:val="21"/>
                <w:szCs w:val="21"/>
                <w:lang w:bidi="ar"/>
              </w:rPr>
              <w:t>设备</w:t>
            </w:r>
            <w:r>
              <w:rPr>
                <w:rFonts w:hint="eastAsia" w:ascii="仿宋_GB2312" w:hAnsi="仿宋_GB2312" w:eastAsia="仿宋_GB2312" w:cs="仿宋_GB2312"/>
                <w:color w:val="auto"/>
                <w:kern w:val="0"/>
                <w:sz w:val="21"/>
                <w:szCs w:val="21"/>
                <w:lang w:eastAsia="zh-CN" w:bidi="ar"/>
              </w:rPr>
              <w:t>购置</w:t>
            </w:r>
          </w:p>
        </w:tc>
        <w:tc>
          <w:tcPr>
            <w:tcW w:w="525" w:type="pct"/>
            <w:tcBorders>
              <w:top w:val="single" w:color="000000" w:sz="4" w:space="0"/>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kern w:val="0"/>
                <w:sz w:val="21"/>
                <w:szCs w:val="21"/>
                <w:lang w:bidi="ar"/>
              </w:rPr>
              <w:t>安装</w:t>
            </w:r>
            <w:r>
              <w:rPr>
                <w:rFonts w:hint="eastAsia" w:ascii="仿宋_GB2312" w:hAnsi="仿宋_GB2312" w:eastAsia="仿宋_GB2312" w:cs="仿宋_GB2312"/>
                <w:color w:val="auto"/>
                <w:kern w:val="0"/>
                <w:sz w:val="21"/>
                <w:szCs w:val="21"/>
                <w:lang w:eastAsia="zh-CN" w:bidi="ar"/>
              </w:rPr>
              <w:t>工程</w:t>
            </w:r>
          </w:p>
        </w:tc>
        <w:tc>
          <w:tcPr>
            <w:tcW w:w="523" w:type="pct"/>
            <w:tcBorders>
              <w:top w:val="single" w:color="000000" w:sz="4" w:space="0"/>
              <w:left w:val="single" w:color="000000" w:sz="4" w:space="0"/>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其他费用</w:t>
            </w:r>
          </w:p>
        </w:tc>
        <w:tc>
          <w:tcPr>
            <w:tcW w:w="430"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合计</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jc w:val="center"/>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单位</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left="0" w:leftChars="0" w:firstLine="0" w:firstLineChars="0"/>
              <w:jc w:val="center"/>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数量</w:t>
            </w:r>
          </w:p>
        </w:tc>
        <w:tc>
          <w:tcPr>
            <w:tcW w:w="7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kern w:val="0"/>
                <w:sz w:val="21"/>
                <w:szCs w:val="21"/>
                <w:lang w:bidi="ar"/>
              </w:rPr>
              <w:t>指 标（元）</w:t>
            </w:r>
          </w:p>
        </w:tc>
      </w:tr>
      <w:tr>
        <w:tblPrEx>
          <w:tblCellMar>
            <w:top w:w="0" w:type="dxa"/>
            <w:left w:w="0" w:type="dxa"/>
            <w:bottom w:w="0" w:type="dxa"/>
            <w:right w:w="0" w:type="dxa"/>
          </w:tblCellMar>
        </w:tblPrEx>
        <w:trPr>
          <w:trHeight w:val="414" w:hRule="atLeast"/>
          <w:jc w:val="center"/>
        </w:trPr>
        <w:tc>
          <w:tcPr>
            <w:tcW w:w="246" w:type="pct"/>
            <w:tcBorders>
              <w:top w:val="nil"/>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sz w:val="21"/>
                <w:szCs w:val="21"/>
                <w:lang w:bidi="ar-SA"/>
              </w:rPr>
            </w:pPr>
            <w:r>
              <w:rPr>
                <w:rFonts w:hint="eastAsia" w:ascii="仿宋_GB2312" w:hAnsi="仿宋_GB2312" w:eastAsia="仿宋_GB2312" w:cs="仿宋_GB2312"/>
                <w:b/>
                <w:color w:val="auto"/>
                <w:kern w:val="0"/>
                <w:sz w:val="21"/>
                <w:szCs w:val="21"/>
                <w:lang w:bidi="ar"/>
              </w:rPr>
              <w:t>I</w:t>
            </w:r>
          </w:p>
        </w:tc>
        <w:tc>
          <w:tcPr>
            <w:tcW w:w="904" w:type="pct"/>
            <w:tcBorders>
              <w:top w:val="nil"/>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sz w:val="21"/>
                <w:szCs w:val="21"/>
                <w:lang w:bidi="ar-SA"/>
              </w:rPr>
            </w:pPr>
            <w:r>
              <w:rPr>
                <w:rFonts w:hint="eastAsia" w:ascii="仿宋_GB2312" w:hAnsi="仿宋_GB2312" w:eastAsia="仿宋_GB2312" w:cs="仿宋_GB2312"/>
                <w:b/>
                <w:color w:val="auto"/>
                <w:kern w:val="0"/>
                <w:sz w:val="21"/>
                <w:szCs w:val="21"/>
                <w:lang w:bidi="ar"/>
              </w:rPr>
              <w:t>工程费用</w:t>
            </w:r>
          </w:p>
        </w:tc>
        <w:tc>
          <w:tcPr>
            <w:tcW w:w="58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c>
          <w:tcPr>
            <w:tcW w:w="5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c>
          <w:tcPr>
            <w:tcW w:w="52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c>
          <w:tcPr>
            <w:tcW w:w="5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sz w:val="21"/>
                <w:szCs w:val="21"/>
                <w:lang w:val="en-US" w:eastAsia="zh-CN"/>
              </w:rPr>
            </w:pPr>
            <w:r>
              <w:rPr>
                <w:rFonts w:hint="eastAsia" w:ascii="仿宋_GB2312" w:hAnsi="仿宋_GB2312" w:eastAsia="仿宋_GB2312" w:cs="仿宋_GB2312"/>
                <w:b/>
                <w:color w:val="auto"/>
                <w:sz w:val="21"/>
                <w:szCs w:val="21"/>
                <w:lang w:val="en-US" w:eastAsia="zh-CN"/>
              </w:rPr>
              <w:t>266.98</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lang w:bidi="ar-SA"/>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lang w:bidi="ar-SA"/>
              </w:rPr>
            </w:pPr>
          </w:p>
        </w:tc>
        <w:tc>
          <w:tcPr>
            <w:tcW w:w="7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lang w:bidi="ar-SA"/>
              </w:rPr>
            </w:pPr>
          </w:p>
        </w:tc>
      </w:tr>
      <w:tr>
        <w:tblPrEx>
          <w:tblCellMar>
            <w:top w:w="0" w:type="dxa"/>
            <w:left w:w="0" w:type="dxa"/>
            <w:bottom w:w="0" w:type="dxa"/>
            <w:right w:w="0" w:type="dxa"/>
          </w:tblCellMar>
        </w:tblPrEx>
        <w:trPr>
          <w:trHeight w:val="414" w:hRule="atLeast"/>
          <w:jc w:val="center"/>
        </w:trPr>
        <w:tc>
          <w:tcPr>
            <w:tcW w:w="2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kern w:val="2"/>
                <w:sz w:val="21"/>
                <w:szCs w:val="21"/>
                <w:lang w:val="en-US" w:eastAsia="zh-CN" w:bidi="ar-SA"/>
              </w:rPr>
            </w:pPr>
          </w:p>
        </w:tc>
        <w:tc>
          <w:tcPr>
            <w:tcW w:w="9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b/>
                <w:color w:val="auto"/>
                <w:kern w:val="2"/>
                <w:sz w:val="21"/>
                <w:szCs w:val="21"/>
                <w:lang w:val="en-US" w:eastAsia="zh-CN" w:bidi="ar-SA"/>
              </w:rPr>
            </w:pPr>
            <w:r>
              <w:rPr>
                <w:rFonts w:hint="eastAsia" w:ascii="仿宋_GB2312" w:hAnsi="仿宋_GB2312" w:eastAsia="仿宋_GB2312" w:cs="仿宋_GB2312"/>
                <w:b/>
                <w:color w:val="auto"/>
                <w:kern w:val="0"/>
                <w:sz w:val="21"/>
                <w:szCs w:val="21"/>
                <w:lang w:bidi="ar"/>
              </w:rPr>
              <w:t>工程建设其他费</w:t>
            </w:r>
          </w:p>
        </w:tc>
        <w:tc>
          <w:tcPr>
            <w:tcW w:w="1635"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kern w:val="2"/>
                <w:sz w:val="21"/>
                <w:szCs w:val="21"/>
                <w:lang w:val="en-US" w:eastAsia="zh-CN" w:bidi="ar-SA"/>
              </w:rPr>
            </w:pPr>
          </w:p>
        </w:tc>
        <w:tc>
          <w:tcPr>
            <w:tcW w:w="5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kern w:val="2"/>
                <w:sz w:val="21"/>
                <w:szCs w:val="21"/>
                <w:lang w:val="en-US" w:eastAsia="zh-CN" w:bidi="ar-SA"/>
              </w:rPr>
            </w:pPr>
            <w:r>
              <w:rPr>
                <w:rFonts w:hint="eastAsia" w:ascii="仿宋_GB2312" w:hAnsi="仿宋_GB2312" w:eastAsia="仿宋_GB2312" w:cs="仿宋_GB2312"/>
                <w:b/>
                <w:color w:val="auto"/>
                <w:sz w:val="21"/>
                <w:szCs w:val="21"/>
                <w:lang w:val="en-US" w:eastAsia="zh-CN"/>
              </w:rPr>
              <w:t>7.02</w:t>
            </w: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kern w:val="2"/>
                <w:sz w:val="21"/>
                <w:szCs w:val="21"/>
                <w:lang w:val="en-US" w:eastAsia="zh-CN" w:bidi="ar-SA"/>
              </w:rPr>
            </w:pPr>
            <w:r>
              <w:rPr>
                <w:rFonts w:hint="eastAsia" w:ascii="仿宋_GB2312" w:hAnsi="仿宋_GB2312" w:eastAsia="仿宋_GB2312" w:cs="仿宋_GB2312"/>
                <w:b/>
                <w:color w:val="auto"/>
                <w:sz w:val="21"/>
                <w:szCs w:val="21"/>
                <w:lang w:val="en-US" w:eastAsia="zh-CN"/>
              </w:rPr>
              <w:t>7.02</w:t>
            </w:r>
          </w:p>
        </w:tc>
        <w:tc>
          <w:tcPr>
            <w:tcW w:w="270"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kern w:val="2"/>
                <w:sz w:val="21"/>
                <w:szCs w:val="21"/>
                <w:lang w:val="en-US" w:eastAsia="zh-CN" w:bidi="ar-SA"/>
              </w:rPr>
            </w:pPr>
          </w:p>
        </w:tc>
        <w:tc>
          <w:tcPr>
            <w:tcW w:w="270" w:type="pct"/>
            <w:tcBorders>
              <w:top w:val="single" w:color="000000" w:sz="4" w:space="0"/>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kern w:val="2"/>
                <w:sz w:val="21"/>
                <w:szCs w:val="21"/>
                <w:lang w:val="en-US" w:eastAsia="zh-CN" w:bidi="ar-SA"/>
              </w:rPr>
            </w:pPr>
          </w:p>
        </w:tc>
        <w:tc>
          <w:tcPr>
            <w:tcW w:w="718" w:type="pc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437" w:hRule="atLeast"/>
          <w:jc w:val="center"/>
        </w:trPr>
        <w:tc>
          <w:tcPr>
            <w:tcW w:w="2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eastAsia" w:ascii="仿宋_GB2312" w:hAnsi="仿宋_GB2312" w:eastAsia="仿宋_GB2312" w:cs="仿宋_GB2312"/>
                <w:b/>
                <w:color w:val="auto"/>
                <w:kern w:val="0"/>
                <w:sz w:val="21"/>
                <w:szCs w:val="21"/>
                <w:lang w:val="en-US" w:eastAsia="zh-CN" w:bidi="ar"/>
              </w:rPr>
            </w:pPr>
            <w:r>
              <w:rPr>
                <w:rFonts w:hint="eastAsia" w:ascii="仿宋_GB2312" w:hAnsi="仿宋_GB2312" w:eastAsia="仿宋_GB2312" w:cs="仿宋_GB2312"/>
                <w:b/>
                <w:color w:val="auto"/>
                <w:kern w:val="0"/>
                <w:sz w:val="21"/>
                <w:szCs w:val="21"/>
                <w:lang w:bidi="ar"/>
              </w:rPr>
              <w:t>Ⅳ</w:t>
            </w:r>
          </w:p>
        </w:tc>
        <w:tc>
          <w:tcPr>
            <w:tcW w:w="9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bottom"/>
              <w:rPr>
                <w:rFonts w:hint="eastAsia" w:ascii="仿宋_GB2312" w:hAnsi="仿宋_GB2312" w:eastAsia="仿宋_GB2312" w:cs="仿宋_GB2312"/>
                <w:b/>
                <w:color w:val="auto"/>
                <w:kern w:val="0"/>
                <w:sz w:val="21"/>
                <w:szCs w:val="21"/>
                <w:lang w:val="en-US" w:eastAsia="zh-CN" w:bidi="ar"/>
              </w:rPr>
            </w:pPr>
            <w:r>
              <w:rPr>
                <w:rFonts w:hint="eastAsia" w:ascii="仿宋_GB2312" w:hAnsi="仿宋_GB2312" w:eastAsia="仿宋_GB2312" w:cs="仿宋_GB2312"/>
                <w:b/>
                <w:color w:val="auto"/>
                <w:kern w:val="0"/>
                <w:sz w:val="21"/>
                <w:szCs w:val="21"/>
                <w:lang w:bidi="ar"/>
              </w:rPr>
              <w:t>建设项目总投资</w:t>
            </w:r>
          </w:p>
        </w:tc>
        <w:tc>
          <w:tcPr>
            <w:tcW w:w="163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kern w:val="2"/>
                <w:sz w:val="21"/>
                <w:szCs w:val="21"/>
                <w:lang w:val="en-US" w:eastAsia="zh-CN" w:bidi="ar-SA"/>
              </w:rPr>
            </w:pPr>
          </w:p>
        </w:tc>
        <w:tc>
          <w:tcPr>
            <w:tcW w:w="5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kern w:val="2"/>
                <w:sz w:val="21"/>
                <w:szCs w:val="21"/>
                <w:lang w:val="en-US" w:eastAsia="zh-CN" w:bidi="ar-SA"/>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bottom"/>
              <w:rPr>
                <w:rFonts w:hint="default" w:ascii="仿宋_GB2312" w:hAnsi="仿宋_GB2312" w:eastAsia="仿宋_GB2312" w:cs="仿宋_GB2312"/>
                <w:b/>
                <w:color w:val="auto"/>
                <w:kern w:val="0"/>
                <w:sz w:val="21"/>
                <w:szCs w:val="21"/>
                <w:lang w:val="en-US" w:eastAsia="zh-CN" w:bidi="ar"/>
              </w:rPr>
            </w:pPr>
            <w:r>
              <w:rPr>
                <w:rFonts w:hint="eastAsia" w:ascii="仿宋_GB2312" w:hAnsi="仿宋_GB2312" w:eastAsia="仿宋_GB2312" w:cs="仿宋_GB2312"/>
                <w:b/>
                <w:color w:val="auto"/>
                <w:kern w:val="0"/>
                <w:sz w:val="21"/>
                <w:szCs w:val="21"/>
                <w:lang w:val="en-US" w:eastAsia="zh-CN" w:bidi="ar"/>
              </w:rPr>
              <w:t>234</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kern w:val="2"/>
                <w:sz w:val="21"/>
                <w:szCs w:val="21"/>
                <w:lang w:val="en-US" w:eastAsia="zh-CN" w:bidi="ar-SA"/>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kern w:val="2"/>
                <w:sz w:val="21"/>
                <w:szCs w:val="21"/>
                <w:lang w:val="en-US" w:eastAsia="zh-CN" w:bidi="ar-SA"/>
              </w:rPr>
            </w:pPr>
          </w:p>
        </w:tc>
        <w:tc>
          <w:tcPr>
            <w:tcW w:w="7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_GB2312" w:hAnsi="仿宋_GB2312" w:eastAsia="仿宋_GB2312" w:cs="仿宋_GB2312"/>
                <w:b/>
                <w:color w:val="auto"/>
                <w:sz w:val="21"/>
                <w:szCs w:val="21"/>
              </w:rPr>
            </w:pPr>
          </w:p>
        </w:tc>
      </w:tr>
    </w:tbl>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48" w:name="_Toc27363"/>
      <w:bookmarkStart w:id="49" w:name="_Toc19236"/>
      <w:r>
        <w:rPr>
          <w:rFonts w:hint="eastAsia" w:ascii="楷体_GB2312" w:hAnsi="楷体_GB2312" w:eastAsia="楷体_GB2312" w:cs="楷体_GB2312"/>
          <w:sz w:val="32"/>
          <w:szCs w:val="32"/>
          <w:lang w:val="en-US" w:eastAsia="zh-CN"/>
        </w:rPr>
        <w:t>4.3资金筹措</w:t>
      </w:r>
      <w:bookmarkEnd w:id="48"/>
      <w:bookmarkEnd w:id="49"/>
    </w:p>
    <w:p>
      <w:pPr>
        <w:kinsoku/>
        <w:wordWrap/>
        <w:overflowPunct/>
        <w:topLinePunct w:val="0"/>
        <w:autoSpaceDE/>
        <w:autoSpaceDN/>
        <w:bidi w:val="0"/>
        <w:spacing w:line="500" w:lineRule="exact"/>
        <w:ind w:left="0" w:firstLine="640" w:firstLineChars="200"/>
        <w:rPr>
          <w:rFonts w:hint="eastAsia" w:ascii="仿宋" w:hAnsi="仿宋" w:eastAsia="仿宋" w:cs="仿宋"/>
          <w:b/>
          <w:bCs/>
          <w:sz w:val="32"/>
          <w:szCs w:val="32"/>
          <w:lang w:eastAsia="zh-CN"/>
        </w:rPr>
      </w:pPr>
      <w:r>
        <w:rPr>
          <w:rFonts w:hint="eastAsia" w:ascii="仿宋" w:eastAsia="仿宋" w:cs="仿宋"/>
          <w:color w:val="auto"/>
          <w:sz w:val="32"/>
          <w:szCs w:val="32"/>
          <w:lang w:eastAsia="zh-CN" w:bidi="ar-SA"/>
        </w:rPr>
        <w:t>项目资金来源：项目总投资</w:t>
      </w:r>
      <w:r>
        <w:rPr>
          <w:rFonts w:hint="eastAsia" w:ascii="仿宋" w:eastAsia="仿宋" w:cs="仿宋"/>
          <w:color w:val="auto"/>
          <w:sz w:val="32"/>
          <w:szCs w:val="32"/>
          <w:lang w:val="en-US" w:eastAsia="zh-CN" w:bidi="ar-SA"/>
        </w:rPr>
        <w:t>237万</w:t>
      </w:r>
      <w:r>
        <w:rPr>
          <w:rFonts w:hint="eastAsia" w:ascii="仿宋" w:eastAsia="仿宋" w:cs="仿宋"/>
          <w:color w:val="auto"/>
          <w:sz w:val="32"/>
          <w:szCs w:val="32"/>
          <w:lang w:eastAsia="zh-CN" w:bidi="ar-SA"/>
        </w:rPr>
        <w:t>元，</w:t>
      </w:r>
      <w:r>
        <w:rPr>
          <w:rFonts w:hint="eastAsia" w:ascii="仿宋" w:eastAsia="仿宋" w:cs="仿宋"/>
          <w:color w:val="auto"/>
          <w:sz w:val="32"/>
          <w:szCs w:val="32"/>
          <w:lang w:val="en-US" w:eastAsia="zh-CN" w:bidi="ar-SA"/>
        </w:rPr>
        <w:t>资金来源为</w:t>
      </w:r>
      <w:r>
        <w:rPr>
          <w:rFonts w:hint="eastAsia" w:ascii="仿宋" w:eastAsia="仿宋" w:cs="仿宋"/>
          <w:color w:val="auto"/>
          <w:sz w:val="32"/>
          <w:szCs w:val="32"/>
          <w:lang w:eastAsia="zh-CN" w:bidi="ar-SA"/>
        </w:rPr>
        <w:t>中央衔接推进乡村振兴补助资金。</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50" w:name="_Toc24804"/>
      <w:bookmarkStart w:id="51" w:name="_Toc24259"/>
      <w:r>
        <w:rPr>
          <w:rFonts w:hint="eastAsia" w:ascii="楷体_GB2312" w:hAnsi="楷体_GB2312" w:eastAsia="楷体_GB2312" w:cs="楷体_GB2312"/>
          <w:sz w:val="32"/>
          <w:szCs w:val="32"/>
          <w:lang w:val="en-US" w:eastAsia="zh-CN"/>
        </w:rPr>
        <w:t>4.4资金使用和管理</w:t>
      </w:r>
      <w:bookmarkEnd w:id="50"/>
      <w:bookmarkEnd w:id="51"/>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一是二工镇财政严格按照专项资金管理和使用，资金管理、会计核算、财务审批制度健全，资金支出程序规范。二是严把财务审批关，按要求准备相关报账资料，对不能提供资料的项目，延缓报账期限；三是严格落实乡财县管乡用原则，规范使用资金，严禁私自改变项目资金用途；四是项目启动后，具体明确技术人员和工程管理人员及工程监理人员，确保项目进度和质量，使项目达到预期的效果。</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在市级有关部门的指导和镇人民政府统一管理下，项目实施坚持因地制宜，区别情况，实地调研，确定切实可行的方案，镇党委、政府及时成立项目管理领导小组，指定专人负责跑办项目前期资料，确保项目资金落地后，按时组织实施；严格落实项目招投标程序，项目建成或实施完毕后，项目单位应及时按规定报请县级有关部门组织审计和备案工作；项目完成验收后，及时将产权移交所在社区居委会，并成立项目后期运行管理领导小组。</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52" w:name="_Toc13257"/>
      <w:bookmarkStart w:id="53" w:name="_Toc21556"/>
      <w:r>
        <w:rPr>
          <w:rFonts w:hint="eastAsia" w:ascii="楷体_GB2312" w:hAnsi="楷体_GB2312" w:eastAsia="楷体_GB2312" w:cs="楷体_GB2312"/>
          <w:sz w:val="32"/>
          <w:szCs w:val="32"/>
          <w:lang w:val="en-US" w:eastAsia="zh-CN"/>
        </w:rPr>
        <w:t>4.5资产移交要求</w:t>
      </w:r>
      <w:bookmarkEnd w:id="52"/>
      <w:bookmarkEnd w:id="53"/>
    </w:p>
    <w:p>
      <w:pPr>
        <w:kinsoku/>
        <w:wordWrap/>
        <w:overflowPunct/>
        <w:topLinePunct w:val="0"/>
        <w:autoSpaceDE/>
        <w:autoSpaceDN/>
        <w:bidi w:val="0"/>
        <w:spacing w:line="500" w:lineRule="exact"/>
        <w:ind w:left="0" w:firstLine="640" w:firstLineChars="200"/>
        <w:rPr>
          <w:rFonts w:hint="eastAsia" w:ascii="仿宋" w:hAnsi="仿宋" w:eastAsia="仿宋" w:cs="仿宋"/>
          <w:sz w:val="32"/>
          <w:szCs w:val="32"/>
        </w:rPr>
      </w:pPr>
      <w:r>
        <w:rPr>
          <w:rFonts w:hint="eastAsia" w:ascii="仿宋" w:eastAsia="仿宋" w:cs="仿宋" w:hAnsiTheme="minorHAnsi"/>
          <w:color w:val="auto"/>
          <w:kern w:val="2"/>
          <w:sz w:val="32"/>
          <w:szCs w:val="32"/>
          <w:lang w:val="en-US" w:eastAsia="zh-CN" w:bidi="ar-SA"/>
        </w:rPr>
        <w:t>项目建设单位</w:t>
      </w:r>
      <w:r>
        <w:rPr>
          <w:rFonts w:hint="eastAsia" w:ascii="仿宋" w:eastAsia="仿宋" w:cs="仿宋"/>
          <w:color w:val="auto"/>
          <w:kern w:val="2"/>
          <w:sz w:val="32"/>
          <w:szCs w:val="32"/>
          <w:lang w:val="en-US" w:eastAsia="zh-CN" w:bidi="ar-SA"/>
        </w:rPr>
        <w:t>收到竣工验收后，应及时完成项目竣工财务决算和资产移交。其中：基建类项目应于3个月内完成相关工作，其他项目应于1个月内完成，形成资产的项目，应按照自治区项目资产后续管理要求，及时做好资产确权、资产交接、投入使用、后续管护、收益分配等工作。</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54" w:name="_Toc28510"/>
      <w:bookmarkStart w:id="55" w:name="_Toc11231"/>
      <w:r>
        <w:rPr>
          <w:rFonts w:hint="eastAsia" w:ascii="楷体_GB2312" w:hAnsi="楷体_GB2312" w:eastAsia="楷体_GB2312" w:cs="楷体_GB2312"/>
          <w:sz w:val="32"/>
          <w:szCs w:val="32"/>
          <w:lang w:val="en-US" w:eastAsia="zh-CN"/>
        </w:rPr>
        <w:t>4.6资金筹措</w:t>
      </w:r>
      <w:bookmarkEnd w:id="54"/>
      <w:bookmarkEnd w:id="55"/>
    </w:p>
    <w:p>
      <w:pPr>
        <w:spacing w:line="560" w:lineRule="exact"/>
        <w:ind w:firstLine="640" w:firstLineChars="200"/>
        <w:rPr>
          <w:rFonts w:hint="default" w:ascii="仿宋" w:eastAsia="仿宋" w:cs="仿宋"/>
          <w:color w:val="auto"/>
          <w:kern w:val="2"/>
          <w:sz w:val="32"/>
          <w:szCs w:val="32"/>
          <w:lang w:val="en-US" w:eastAsia="zh-CN" w:bidi="ar-SA"/>
        </w:rPr>
        <w:sectPr>
          <w:headerReference r:id="rId6" w:type="default"/>
          <w:footerReference r:id="rId7" w:type="default"/>
          <w:pgSz w:w="11900" w:h="16838"/>
          <w:pgMar w:top="1440" w:right="1797" w:bottom="1440" w:left="1797" w:header="850" w:footer="992" w:gutter="0"/>
          <w:pgNumType w:fmt="decimal"/>
          <w:cols w:space="0" w:num="1"/>
          <w:rtlGutter w:val="0"/>
          <w:docGrid w:linePitch="0" w:charSpace="0"/>
        </w:sectPr>
      </w:pPr>
      <w:r>
        <w:rPr>
          <w:rFonts w:hint="eastAsia" w:ascii="仿宋" w:hAnsi="仿宋" w:eastAsia="仿宋" w:cs="仿宋"/>
          <w:color w:val="auto"/>
          <w:sz w:val="32"/>
          <w:szCs w:val="32"/>
          <w:lang w:val="en-US" w:eastAsia="zh-CN"/>
        </w:rPr>
        <w:t>申请</w:t>
      </w:r>
      <w:r>
        <w:rPr>
          <w:rFonts w:hint="eastAsia" w:ascii="仿宋" w:eastAsia="仿宋" w:cs="仿宋"/>
          <w:color w:val="auto"/>
          <w:sz w:val="32"/>
          <w:szCs w:val="32"/>
          <w:lang w:eastAsia="zh-CN" w:bidi="ar-SA"/>
        </w:rPr>
        <w:t>中央衔接推进乡村振兴补助资金</w:t>
      </w:r>
      <w:r>
        <w:rPr>
          <w:rFonts w:hint="eastAsia" w:ascii="仿宋" w:eastAsia="仿宋" w:cs="仿宋"/>
          <w:color w:val="auto"/>
          <w:sz w:val="32"/>
          <w:szCs w:val="32"/>
          <w:lang w:val="en-US" w:eastAsia="zh-CN" w:bidi="ar-SA"/>
        </w:rPr>
        <w:t>237万</w:t>
      </w:r>
      <w:r>
        <w:rPr>
          <w:rFonts w:hint="eastAsia" w:ascii="仿宋" w:eastAsia="仿宋" w:cs="仿宋"/>
          <w:color w:val="auto"/>
          <w:sz w:val="32"/>
          <w:szCs w:val="32"/>
          <w:lang w:eastAsia="zh-CN" w:bidi="ar-SA"/>
        </w:rPr>
        <w:t>元。</w:t>
      </w:r>
    </w:p>
    <w:p>
      <w:pPr>
        <w:pStyle w:val="25"/>
        <w:spacing w:line="500" w:lineRule="exact"/>
        <w:ind w:firstLine="0" w:firstLineChars="0"/>
        <w:outlineLvl w:val="0"/>
        <w:rPr>
          <w:rFonts w:hint="eastAsia" w:ascii="黑体" w:hAnsi="黑体" w:eastAsia="黑体" w:cs="黑体"/>
          <w:b w:val="0"/>
          <w:bCs w:val="0"/>
          <w:sz w:val="32"/>
          <w:szCs w:val="32"/>
          <w:lang w:val="en-US" w:eastAsia="zh-CN"/>
        </w:rPr>
      </w:pPr>
      <w:bookmarkStart w:id="56" w:name="page31"/>
      <w:bookmarkEnd w:id="56"/>
      <w:bookmarkStart w:id="57" w:name="_Toc3525"/>
      <w:bookmarkStart w:id="58" w:name="_Toc15192"/>
      <w:r>
        <w:rPr>
          <w:rFonts w:hint="eastAsia" w:ascii="黑体" w:hAnsi="黑体" w:eastAsia="黑体" w:cs="黑体"/>
          <w:b w:val="0"/>
          <w:bCs w:val="0"/>
          <w:sz w:val="32"/>
          <w:szCs w:val="32"/>
          <w:lang w:val="en-US" w:eastAsia="zh-CN"/>
        </w:rPr>
        <w:t>5.项目实施保障措施</w:t>
      </w:r>
      <w:bookmarkEnd w:id="57"/>
      <w:bookmarkEnd w:id="58"/>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59" w:name="_Toc13641"/>
      <w:bookmarkStart w:id="60" w:name="_Toc20015"/>
      <w:r>
        <w:rPr>
          <w:rFonts w:hint="eastAsia" w:ascii="楷体_GB2312" w:hAnsi="楷体_GB2312" w:eastAsia="楷体_GB2312" w:cs="楷体_GB2312"/>
          <w:sz w:val="32"/>
          <w:szCs w:val="32"/>
          <w:lang w:val="en-US" w:eastAsia="zh-CN"/>
        </w:rPr>
        <w:t>5.1组织领导机构</w:t>
      </w:r>
      <w:bookmarkEnd w:id="59"/>
      <w:bookmarkEnd w:id="6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b w:val="0"/>
          <w:bCs w:val="0"/>
          <w:sz w:val="32"/>
          <w:szCs w:val="32"/>
          <w:lang w:bidi="ar-SA"/>
        </w:rPr>
      </w:pPr>
      <w:r>
        <w:rPr>
          <w:rFonts w:hint="eastAsia" w:ascii="仿宋" w:eastAsia="仿宋" w:cs="仿宋"/>
          <w:b w:val="0"/>
          <w:bCs w:val="0"/>
          <w:sz w:val="32"/>
          <w:szCs w:val="32"/>
          <w:lang w:bidi="ar-SA"/>
        </w:rPr>
        <w:t>成立项目领导小组：为加强项目建设的组织、协调和领导，实行目标责任制，责任到人，确保项目的顺利建设。项目建设领导小组组成如下：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b w:val="0"/>
          <w:bCs w:val="0"/>
          <w:sz w:val="32"/>
          <w:szCs w:val="32"/>
          <w:lang w:bidi="ar-SA"/>
        </w:rPr>
      </w:pPr>
      <w:r>
        <w:rPr>
          <w:rFonts w:hint="eastAsia" w:ascii="仿宋" w:eastAsia="仿宋" w:cs="仿宋"/>
          <w:b w:val="0"/>
          <w:bCs w:val="0"/>
          <w:sz w:val="32"/>
          <w:szCs w:val="32"/>
          <w:lang w:bidi="ar-SA"/>
        </w:rPr>
        <w:t>组  长：</w:t>
      </w:r>
      <w:r>
        <w:rPr>
          <w:rFonts w:hint="eastAsia" w:ascii="仿宋" w:eastAsia="仿宋" w:cs="仿宋"/>
          <w:b w:val="0"/>
          <w:bCs w:val="0"/>
          <w:sz w:val="32"/>
          <w:szCs w:val="32"/>
          <w:lang w:val="en-US" w:eastAsia="zh-CN" w:bidi="ar-SA"/>
        </w:rPr>
        <w:t>蔡宝军</w:t>
      </w:r>
      <w:r>
        <w:rPr>
          <w:rFonts w:hint="eastAsia" w:ascii="仿宋" w:eastAsia="仿宋" w:cs="仿宋"/>
          <w:b w:val="0"/>
          <w:bCs w:val="0"/>
          <w:sz w:val="32"/>
          <w:szCs w:val="32"/>
          <w:lang w:bidi="ar-SA"/>
        </w:rPr>
        <w:t xml:space="preserve">    党委书记</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bidi="ar-SA"/>
        </w:rPr>
      </w:pPr>
      <w:r>
        <w:rPr>
          <w:rFonts w:hint="eastAsia" w:ascii="仿宋" w:eastAsia="仿宋" w:cs="仿宋"/>
          <w:b w:val="0"/>
          <w:bCs w:val="0"/>
          <w:sz w:val="32"/>
          <w:szCs w:val="32"/>
          <w:lang w:val="en-US" w:eastAsia="zh-CN" w:bidi="ar-SA"/>
        </w:rPr>
        <w:t>刘江涛</w:t>
      </w:r>
      <w:r>
        <w:rPr>
          <w:rFonts w:hint="eastAsia" w:ascii="仿宋" w:eastAsia="仿宋" w:cs="仿宋"/>
          <w:b w:val="0"/>
          <w:bCs w:val="0"/>
          <w:sz w:val="32"/>
          <w:szCs w:val="32"/>
          <w:lang w:bidi="ar-SA"/>
        </w:rPr>
        <w:t xml:space="preserve">    党委副书记、</w:t>
      </w:r>
      <w:r>
        <w:rPr>
          <w:rFonts w:hint="eastAsia" w:ascii="仿宋" w:eastAsia="仿宋" w:cs="仿宋"/>
          <w:b w:val="0"/>
          <w:bCs w:val="0"/>
          <w:sz w:val="32"/>
          <w:szCs w:val="32"/>
          <w:lang w:val="en-US" w:eastAsia="zh-CN" w:bidi="ar-SA"/>
        </w:rPr>
        <w:t>镇长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bidi="ar-SA"/>
        </w:rPr>
        <w:t>副组长：</w:t>
      </w:r>
      <w:r>
        <w:rPr>
          <w:rFonts w:hint="eastAsia" w:ascii="仿宋" w:eastAsia="仿宋" w:cs="仿宋"/>
          <w:b w:val="0"/>
          <w:bCs w:val="0"/>
          <w:sz w:val="32"/>
          <w:szCs w:val="32"/>
          <w:lang w:val="en-US" w:eastAsia="zh-CN" w:bidi="ar-SA"/>
        </w:rPr>
        <w:t>哈依沙尔  党委委员、人大主席</w:t>
      </w:r>
    </w:p>
    <w:p>
      <w:pPr>
        <w:pStyle w:val="2"/>
        <w:numPr>
          <w:ilvl w:val="1"/>
          <w:numId w:val="0"/>
        </w:numPr>
        <w:tabs>
          <w:tab w:val="clear" w:pos="0"/>
        </w:tabs>
        <w:ind w:leftChars="0"/>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 xml:space="preserve">            许能成    党委副书记</w:t>
      </w:r>
    </w:p>
    <w:p>
      <w:pPr>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 xml:space="preserve">            马  坚    党委副书记、统战委员</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张  翔    党委委员、纪委书记</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default"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葛春伟    党委委员、武装部长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李玉岭    党委委员、组织委员</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宋瑞琪    党委委员、宣传委员</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default"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宋红星    政府副镇长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帕尔哈提</w:t>
      </w:r>
      <w:r>
        <w:rPr>
          <w:rFonts w:hint="eastAsia" w:ascii="仿宋" w:eastAsia="仿宋" w:cs="仿宋"/>
          <w:b w:val="0"/>
          <w:bCs w:val="0"/>
          <w:sz w:val="32"/>
          <w:szCs w:val="32"/>
          <w:lang w:bidi="ar-SA"/>
        </w:rPr>
        <w:t xml:space="preserve">  </w:t>
      </w:r>
      <w:r>
        <w:rPr>
          <w:rFonts w:hint="eastAsia" w:ascii="仿宋" w:eastAsia="仿宋" w:cs="仿宋"/>
          <w:b w:val="0"/>
          <w:bCs w:val="0"/>
          <w:sz w:val="32"/>
          <w:szCs w:val="32"/>
          <w:lang w:val="en-US" w:eastAsia="zh-CN" w:bidi="ar-SA"/>
        </w:rPr>
        <w:t>政府副镇长</w:t>
      </w:r>
    </w:p>
    <w:p>
      <w:pPr>
        <w:pStyle w:val="2"/>
        <w:numPr>
          <w:ilvl w:val="1"/>
          <w:numId w:val="0"/>
        </w:numPr>
        <w:tabs>
          <w:tab w:val="clear" w:pos="0"/>
        </w:tabs>
        <w:ind w:leftChars="0"/>
        <w:rPr>
          <w:rFonts w:hint="eastAsia" w:ascii="仿宋" w:eastAsia="仿宋" w:cs="仿宋"/>
          <w:b w:val="0"/>
          <w:bCs w:val="0"/>
          <w:sz w:val="32"/>
          <w:szCs w:val="32"/>
          <w:lang w:val="en-US" w:eastAsia="zh-CN" w:bidi="ar-SA"/>
        </w:rPr>
      </w:pPr>
      <w:r>
        <w:rPr>
          <w:rFonts w:hint="eastAsia" w:ascii="仿宋" w:eastAsia="仿宋" w:cs="仿宋"/>
          <w:b w:val="0"/>
          <w:bCs w:val="0"/>
          <w:sz w:val="32"/>
          <w:szCs w:val="32"/>
          <w:lang w:val="en-US" w:eastAsia="zh-CN" w:bidi="ar-SA"/>
        </w:rPr>
        <w:t xml:space="preserve">            杨旭辉    政府副镇长</w:t>
      </w:r>
    </w:p>
    <w:p>
      <w:pPr>
        <w:rPr>
          <w:rFonts w:hint="default"/>
          <w:sz w:val="32"/>
          <w:szCs w:val="32"/>
          <w:lang w:val="en-US" w:eastAsia="zh-CN"/>
        </w:rPr>
      </w:pPr>
      <w:r>
        <w:rPr>
          <w:rFonts w:hint="eastAsia" w:ascii="仿宋" w:eastAsia="仿宋" w:cs="仿宋"/>
          <w:b w:val="0"/>
          <w:bCs w:val="0"/>
          <w:sz w:val="32"/>
          <w:szCs w:val="32"/>
          <w:lang w:val="en-US" w:eastAsia="zh-CN" w:bidi="ar-SA"/>
        </w:rPr>
        <w:t xml:space="preserve">            马忠明    主任科员</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5.2保障措施</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1、制定考核目标</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制定和完善项目资金、物质和技术规范等日常管理制度，形成项目申报、组织、实施、验收、评价的全程管理机制。严格执行基本建设程序，按照相关规定落实项目法人制，强化验收程序，确保实现项目质量、进度和投资目标。推行项目公示制度，将国家政策、投资标准、建设内容等纳入项目实施区域的政务公开内容，增强项目运作的透明度，确保职工干部的知情权、参与权、监督权，提高广大群众参与项目管理和建设的积极性。坚持目标、任务、资金、责任“四到位”的原则，层层签订目标责任书，确保工程建设项目顺利推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2、工程保障措施</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项目坚持按项目设计，按设计施工，按标准检查验收的原则，制定工程管理办法，建立健全各项规章制度。项目建设领导小组管理办公室设置专门的工程技术指导和质量监督机构，配备专职人员，项目具体实施有建设单位组织，具体内容有工程施工招投标、工程施工质量监理，工程质量主机验收等。对各项工程的实施从规划、设计到施工、验收实行全过程控制。每一个环节都要有专门的管理技术和施工人员负责，对工程质量进行严格监控、检查验收。</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资金保障措施项目资金由实施单位申报，由项目建设领导小组统筹安排。各项资金分级分项制定资金支付、资金使用监督管理办法等各项财务管理制度；实行财务分级管理，明确项目资金管理办法；项目施工单位要根据投资计划和工程进度，按已完成工程量填写报账申请书，经项目负责人和工程监理人员签字后，并经过有关部门的质量检查，连同所有财务原始凭证，报项目办公室审核后到资金专户报账。保证项目资金专款专用，做到不挪用，不截留。</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4、技术保障措施</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确保建设项目实施的科学性、先进性、实用性、由塔城市乡村振兴局相关行业部门人员，审核项目实施方案、初步设计等，不断修订完善建设标准，及时了解、解决项目建设中出现的问题，严把建设技术关，确保工程建设项目的质量，使其长期发挥效益。</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61" w:name="_Toc976"/>
      <w:bookmarkStart w:id="62" w:name="_Toc5122"/>
      <w:r>
        <w:rPr>
          <w:rFonts w:hint="eastAsia" w:ascii="楷体_GB2312" w:hAnsi="楷体_GB2312" w:eastAsia="楷体_GB2312" w:cs="楷体_GB2312"/>
          <w:sz w:val="32"/>
          <w:szCs w:val="32"/>
          <w:lang w:val="en-US" w:eastAsia="zh-CN"/>
        </w:rPr>
        <w:t>5.3项目管理、监督检查制度</w:t>
      </w:r>
      <w:bookmarkEnd w:id="61"/>
      <w:bookmarkEnd w:id="62"/>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项目建设单位下设项目建设领导小组，协调解决建设工程主方案编制、可研编制、项目立项、资金争取、勘察设计、用地审批、手续办理、矛盾纠纷处理等工作，确保工程顺利开展。领导小组下设项目办公室，具体负责项目招投标、规划设计审核、施工计划拟定、进度报表等日常工作。</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按建设区域和功能定位，工程建设管理由建设单位领导班子成员担任，具体负责工程实施日常监管，监督检查等工作，与监理单位配合做好工程质量管理，确保项目工程规范、顺利实施。</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63" w:name="_Toc8117"/>
      <w:bookmarkStart w:id="64" w:name="_Toc17072"/>
      <w:r>
        <w:rPr>
          <w:rFonts w:hint="eastAsia" w:ascii="楷体_GB2312" w:hAnsi="楷体_GB2312" w:eastAsia="楷体_GB2312" w:cs="楷体_GB2312"/>
          <w:sz w:val="32"/>
          <w:szCs w:val="32"/>
          <w:lang w:val="en-US" w:eastAsia="zh-CN"/>
        </w:rPr>
        <w:t>5.4验收管理</w:t>
      </w:r>
      <w:bookmarkEnd w:id="63"/>
      <w:bookmarkEnd w:id="64"/>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根据《新疆维吾尔自治区财政衔接推进乡村振兴补助资金（巩固拓展脱贫攻坚成果和乡村振兴任务）项目管理办法（暂行）》的通知 新乡振（2021）32号等相关文件要求，坚持项目竣工验收制度，遵照属地管理、“谁审批、谁验收”的原则。按照村、镇、市三个级别逐级开展验收工作。根据实施单位的验收申请，先由二工镇人民政府组织项目施工单位、监理单位、设计单位及所在社区开展项目初验，验收合格，向市乡村振兴领导小组申请竣工验收，在市乡村振兴开发领导小组统一安排下，由市乡村振兴局牵头开展竣工验收工作，成立竣工验收评价工作小组，明确验收小组成员，及时完成竣工验收工作。</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65" w:name="_Toc10298"/>
      <w:bookmarkStart w:id="66" w:name="_Toc19957"/>
      <w:r>
        <w:rPr>
          <w:rFonts w:hint="eastAsia" w:ascii="楷体_GB2312" w:hAnsi="楷体_GB2312" w:eastAsia="楷体_GB2312" w:cs="楷体_GB2312"/>
          <w:sz w:val="32"/>
          <w:szCs w:val="32"/>
          <w:lang w:val="en-US" w:eastAsia="zh-CN"/>
        </w:rPr>
        <w:t>5.5管护机制</w:t>
      </w:r>
      <w:bookmarkEnd w:id="65"/>
      <w:bookmarkEnd w:id="66"/>
    </w:p>
    <w:p>
      <w:pPr>
        <w:spacing w:line="560" w:lineRule="exact"/>
        <w:ind w:firstLine="640" w:firstLineChars="200"/>
        <w:rPr>
          <w:rFonts w:hint="default" w:ascii="仿宋" w:eastAsia="仿宋" w:cs="仿宋"/>
          <w:sz w:val="32"/>
          <w:szCs w:val="32"/>
          <w:lang w:val="en-US" w:eastAsia="zh-CN" w:bidi="ar-SA"/>
        </w:rPr>
      </w:pPr>
      <w:bookmarkStart w:id="67" w:name="_Toc15496"/>
      <w:bookmarkStart w:id="68" w:name="_Toc24822"/>
      <w:bookmarkStart w:id="69" w:name="_Toc25280"/>
      <w:bookmarkStart w:id="70" w:name="_Toc32657"/>
      <w:r>
        <w:rPr>
          <w:rFonts w:hint="eastAsia" w:ascii="仿宋" w:eastAsia="仿宋" w:cs="仿宋"/>
          <w:sz w:val="32"/>
          <w:szCs w:val="32"/>
          <w:lang w:val="en-US" w:eastAsia="zh-CN" w:bidi="ar-SA"/>
        </w:rPr>
        <w:t>实施方案在运营管理主要从以下几方面进行：明确塔城市二工镇二工村、乌宗阿尕什村、吐马克齐村的所有权，落实后续管护的主体责任。项目完工后计划通过租赁方式对外承包，由承包单位负责运营管理，由资产承包单位负责落实项目资产后续管护的主体责任。</w:t>
      </w:r>
      <w:bookmarkEnd w:id="67"/>
      <w:bookmarkEnd w:id="68"/>
      <w:bookmarkEnd w:id="69"/>
      <w:bookmarkEnd w:id="70"/>
      <w:r>
        <w:rPr>
          <w:rFonts w:hint="eastAsia" w:ascii="仿宋" w:eastAsia="仿宋" w:cs="仿宋"/>
          <w:sz w:val="32"/>
          <w:szCs w:val="32"/>
          <w:lang w:val="en-US" w:eastAsia="zh-CN" w:bidi="ar-SA"/>
        </w:rPr>
        <w:t>二工镇二工村、乌宗阿尕什村、吐马克齐村负责对资产后续监管工作。</w:t>
      </w:r>
    </w:p>
    <w:p>
      <w:pPr>
        <w:spacing w:line="560" w:lineRule="exact"/>
        <w:ind w:firstLine="640" w:firstLineChars="200"/>
        <w:rPr>
          <w:rFonts w:hint="default" w:ascii="仿宋" w:eastAsia="仿宋" w:cs="仿宋"/>
          <w:sz w:val="32"/>
          <w:szCs w:val="32"/>
          <w:lang w:val="en-US" w:eastAsia="zh-CN" w:bidi="ar-SA"/>
        </w:rPr>
      </w:pPr>
      <w:bookmarkStart w:id="71" w:name="_Toc13406"/>
      <w:bookmarkStart w:id="72" w:name="_Toc3274"/>
      <w:r>
        <w:rPr>
          <w:rFonts w:hint="eastAsia" w:ascii="仿宋" w:eastAsia="仿宋" w:cs="仿宋"/>
          <w:sz w:val="32"/>
          <w:szCs w:val="32"/>
          <w:lang w:val="en-US" w:eastAsia="zh-CN" w:bidi="ar-SA"/>
        </w:rPr>
        <w:t>项目资产所有者主要职责：</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1.依照资产管理相关规定对项目资产进行产权登记，定期开展项目资产清查，建立项目资产台账。</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2.制定项目资产经营管理制度、项目后续管护制度等。3.要落实好监管责任，定期对资产进行检查，督促资产</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经营之履行好资产后续管护责任，保证资产后期正常运行，长期发挥效益。</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4.维护收益群众的合法权益。</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5.负责项目资产的日常管理及风险控制。</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6.负责项目资产经营者的选定及资产收回。</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7.定期上报资产管理情况。</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项目资产经营单位职责：</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1、项目资产投入使用后，项目资产所有资产交至经营者(承租方)运营管理，由经营者(承租方)负责项目资产后续管护工作。</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2、项目资产正式投入使用后，经营者(承租方)要安排专人负责，定期对资产进行维护检查，发现问题及时进行维修，确保资产正常运转，长期发挥效益。</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3、项目资产在后期生产使用过程中出现的损坏由经营者(承租方)进行维修，由此产生的费用由经营者(承租方)自行承担。</w:t>
      </w:r>
    </w:p>
    <w:p>
      <w:pPr>
        <w:spacing w:line="560" w:lineRule="exact"/>
        <w:ind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3、项目资产所有权属于二工村、乌宗阿尕什村、吐马克齐村，经营者(承租方)拥有项目资产经营权，未经允许，不得处置、抵押、担保、变卖项目资产。</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4、经营者(承租方)对资产负有保值增值责任，享有依法经营的自主权，承担项目经营风险，依法按约支付收益。</w:t>
      </w:r>
    </w:p>
    <w:p>
      <w:pPr>
        <w:spacing w:line="560" w:lineRule="exact"/>
        <w:ind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5、经营者(承租方)要配合市、镇、社区做好资产监督检查或其他管理相关工作。</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5.6利益连接机制</w:t>
      </w:r>
      <w:bookmarkEnd w:id="71"/>
      <w:bookmarkEnd w:id="72"/>
    </w:p>
    <w:p>
      <w:pPr>
        <w:spacing w:line="560" w:lineRule="exact"/>
        <w:ind w:firstLine="640" w:firstLineChars="200"/>
        <w:rPr>
          <w:rFonts w:hint="default" w:ascii="仿宋" w:eastAsia="仿宋" w:cs="仿宋"/>
          <w:sz w:val="32"/>
          <w:szCs w:val="32"/>
          <w:lang w:val="en-US" w:eastAsia="zh-CN" w:bidi="ar-SA"/>
        </w:rPr>
      </w:pPr>
      <w:bookmarkStart w:id="73" w:name="_Toc27775"/>
      <w:bookmarkStart w:id="74" w:name="_Toc15895"/>
      <w:r>
        <w:rPr>
          <w:rFonts w:hint="eastAsia" w:ascii="仿宋" w:eastAsia="仿宋" w:cs="仿宋"/>
          <w:sz w:val="32"/>
          <w:szCs w:val="32"/>
          <w:lang w:val="en-US" w:eastAsia="zh-CN" w:bidi="ar-SA"/>
        </w:rPr>
        <w:t>项目投入使用后，二工镇二工村、乌宗阿尕什村、吐马克齐村面向社会公开招租，招租成功后，二工村、乌宗阿尕什村、吐马克齐村与资产经营者签订资产租赁协议，资产由经营者运营管理，二工村、乌宗阿尕什村、吐马克齐村集体每年收取租赁费的方式获取收益，资产收益为总投资5%。</w:t>
      </w:r>
    </w:p>
    <w:p>
      <w:pPr>
        <w:pStyle w:val="25"/>
        <w:spacing w:line="500" w:lineRule="exact"/>
        <w:ind w:firstLine="0" w:firstLineChars="0"/>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6.项目实施进度</w:t>
      </w:r>
      <w:bookmarkEnd w:id="73"/>
      <w:bookmarkEnd w:id="74"/>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75" w:name="_Toc30912"/>
      <w:bookmarkStart w:id="76" w:name="_Toc32356"/>
      <w:r>
        <w:rPr>
          <w:rFonts w:hint="eastAsia" w:ascii="楷体_GB2312" w:hAnsi="楷体_GB2312" w:eastAsia="楷体_GB2312" w:cs="楷体_GB2312"/>
          <w:sz w:val="32"/>
          <w:szCs w:val="32"/>
          <w:lang w:val="en-US" w:eastAsia="zh-CN"/>
        </w:rPr>
        <w:t>6.1项目实施进度计划及安排</w:t>
      </w:r>
      <w:bookmarkEnd w:id="75"/>
      <w:bookmarkEnd w:id="76"/>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县级项目计划通过市乡村振兴领导小组审核备案后，应立即启动实施、其中：属于政府采购、招标管理范围的，严格依法依规执行，原则上应在通过审核备案后10个工作日内启动；对依法可不招标或不涉及政府采购的，原则上应通过审核备案后5个工作日内启动。对采用以工代赈方式建设的项目，应执行发改部门以工代赈项目管理有关规定实施。</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根据项目建设内容和主要建设条件，本项目建设周期拟定为8个月，即2023年4月-2023年11月。</w:t>
      </w:r>
    </w:p>
    <w:p>
      <w:pPr>
        <w:pStyle w:val="9"/>
        <w:ind w:left="0" w:leftChars="0" w:firstLine="0" w:firstLineChars="0"/>
        <w:rPr>
          <w:rFonts w:hint="eastAsia"/>
          <w:lang w:val="en-US" w:eastAsia="zh-CN"/>
        </w:rPr>
      </w:pPr>
    </w:p>
    <w:p>
      <w:pPr>
        <w:adjustRightInd w:val="0"/>
        <w:snapToGrid w:val="0"/>
        <w:spacing w:line="560" w:lineRule="exact"/>
        <w:ind w:firstLine="3012" w:firstLineChars="1000"/>
        <w:jc w:val="both"/>
        <w:rPr>
          <w:rFonts w:hint="default" w:ascii="Times New Roman" w:hAnsi="Times New Roman" w:eastAsia="仿宋" w:cs="Times New Roman"/>
          <w:b/>
          <w:kern w:val="0"/>
          <w:sz w:val="30"/>
        </w:rPr>
      </w:pPr>
      <w:r>
        <w:rPr>
          <w:rFonts w:hint="default" w:ascii="Times New Roman" w:hAnsi="Times New Roman" w:eastAsia="仿宋" w:cs="Times New Roman"/>
          <w:b/>
          <w:kern w:val="0"/>
          <w:sz w:val="30"/>
        </w:rPr>
        <w:t>项目实施计划横道图</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6"/>
        <w:gridCol w:w="827"/>
        <w:gridCol w:w="810"/>
        <w:gridCol w:w="816"/>
        <w:gridCol w:w="767"/>
        <w:gridCol w:w="842"/>
        <w:gridCol w:w="825"/>
        <w:gridCol w:w="813"/>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195" w:type="pct"/>
            <w:vMerge w:val="restart"/>
            <w:tcBorders>
              <w:tl2br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right"/>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时间</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工作</w:t>
            </w:r>
          </w:p>
        </w:tc>
        <w:tc>
          <w:tcPr>
            <w:tcW w:w="3804" w:type="pct"/>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202</w:t>
            </w:r>
            <w:r>
              <w:rPr>
                <w:rFonts w:hint="eastAsia" w:ascii="仿宋_GB2312" w:hAnsi="仿宋_GB2312" w:eastAsia="仿宋_GB2312" w:cs="仿宋_GB2312"/>
                <w:color w:val="auto"/>
                <w:kern w:val="0"/>
                <w:sz w:val="21"/>
                <w:szCs w:val="21"/>
                <w:highlight w:val="none"/>
                <w:lang w:val="en-US" w:eastAsia="zh-CN"/>
              </w:rPr>
              <w:t>3</w:t>
            </w:r>
            <w:r>
              <w:rPr>
                <w:rFonts w:hint="eastAsia" w:ascii="仿宋_GB2312" w:hAnsi="仿宋_GB2312" w:eastAsia="仿宋_GB2312" w:cs="仿宋_GB2312"/>
                <w:color w:val="auto"/>
                <w:kern w:val="0"/>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195" w:type="pct"/>
            <w:vMerge w:val="continue"/>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5"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1月—3月</w:t>
            </w:r>
          </w:p>
        </w:tc>
        <w:tc>
          <w:tcPr>
            <w:tcW w:w="47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4月</w:t>
            </w:r>
          </w:p>
        </w:tc>
        <w:tc>
          <w:tcPr>
            <w:tcW w:w="479"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5月</w:t>
            </w:r>
          </w:p>
        </w:tc>
        <w:tc>
          <w:tcPr>
            <w:tcW w:w="450"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6月</w:t>
            </w:r>
          </w:p>
        </w:tc>
        <w:tc>
          <w:tcPr>
            <w:tcW w:w="494"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7月</w:t>
            </w:r>
          </w:p>
        </w:tc>
        <w:tc>
          <w:tcPr>
            <w:tcW w:w="484"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8月</w:t>
            </w:r>
          </w:p>
        </w:tc>
        <w:tc>
          <w:tcPr>
            <w:tcW w:w="477"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9月</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195"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eastAsia="zh-CN"/>
              </w:rPr>
              <w:t>可研审批，</w:t>
            </w:r>
            <w:r>
              <w:rPr>
                <w:rFonts w:hint="eastAsia" w:ascii="仿宋_GB2312" w:hAnsi="仿宋_GB2312" w:eastAsia="仿宋_GB2312" w:cs="仿宋_GB2312"/>
                <w:color w:val="auto"/>
                <w:kern w:val="0"/>
                <w:sz w:val="21"/>
                <w:szCs w:val="21"/>
                <w:highlight w:val="none"/>
                <w:lang w:val="en-US" w:eastAsia="zh-CN"/>
              </w:rPr>
              <w:t>设计，</w:t>
            </w:r>
            <w:r>
              <w:rPr>
                <w:rFonts w:hint="eastAsia" w:ascii="仿宋_GB2312" w:hAnsi="仿宋_GB2312" w:eastAsia="仿宋_GB2312" w:cs="仿宋_GB2312"/>
                <w:color w:val="auto"/>
                <w:kern w:val="0"/>
                <w:sz w:val="21"/>
                <w:szCs w:val="21"/>
                <w:highlight w:val="none"/>
                <w:lang w:eastAsia="zh-CN"/>
              </w:rPr>
              <w:t>招标等前期</w:t>
            </w:r>
            <w:r>
              <w:rPr>
                <w:rFonts w:hint="eastAsia" w:ascii="仿宋_GB2312" w:hAnsi="仿宋_GB2312" w:eastAsia="仿宋_GB2312" w:cs="仿宋_GB2312"/>
                <w:color w:val="auto"/>
                <w:kern w:val="0"/>
                <w:sz w:val="21"/>
                <w:szCs w:val="21"/>
                <w:highlight w:val="none"/>
              </w:rPr>
              <w:t>工作</w:t>
            </w:r>
          </w:p>
        </w:tc>
        <w:tc>
          <w:tcPr>
            <w:tcW w:w="48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154940</wp:posOffset>
                      </wp:positionV>
                      <wp:extent cx="575945" cy="0"/>
                      <wp:effectExtent l="0" t="15875" r="14605" b="22225"/>
                      <wp:wrapNone/>
                      <wp:docPr id="14" name="直接连接符 14"/>
                      <wp:cNvGraphicFramePr/>
                      <a:graphic xmlns:a="http://schemas.openxmlformats.org/drawingml/2006/main">
                        <a:graphicData uri="http://schemas.microsoft.com/office/word/2010/wordprocessingShape">
                          <wps:wsp>
                            <wps:cNvCnPr/>
                            <wps:spPr>
                              <a:xfrm>
                                <a:off x="0" y="0"/>
                                <a:ext cx="575945" cy="0"/>
                              </a:xfrm>
                              <a:prstGeom prst="line">
                                <a:avLst/>
                              </a:prstGeom>
                              <a:ln w="317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pt;margin-top:12.2pt;height:0pt;width:45.35pt;z-index:251662336;mso-width-relative:page;mso-height-relative:page;" filled="f" stroked="t" coordsize="21600,21600" o:gfxdata="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ONKbrTAAAABwEAAA8AAAAAAAAA&#10;AQAgAAAAIgAAAGRycy9kb3ducmV2LnhtbFBLAQIUABQAAAAIAIdO4kAhQaCd3QEAAJgDAAAOAAAA&#10;AAAAAAEAIAAAACIBAABkcnMvZTJvRG9jLnhtbFBLBQYAAAAABgAGAFkBAABxBQAAAAA=&#10;">
                      <v:fill on="f" focussize="0,0"/>
                      <v:stroke weight="2.5pt" color="#000000" joinstyle="round"/>
                      <v:imagedata o:title=""/>
                      <o:lock v:ext="edit" aspectratio="f"/>
                    </v:line>
                  </w:pict>
                </mc:Fallback>
              </mc:AlternateContent>
            </w:r>
          </w:p>
        </w:tc>
        <w:tc>
          <w:tcPr>
            <w:tcW w:w="47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9"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0"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9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95"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eastAsia="zh-CN"/>
              </w:rPr>
              <w:t>施工准备工作</w:t>
            </w:r>
          </w:p>
        </w:tc>
        <w:tc>
          <w:tcPr>
            <w:tcW w:w="48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519430</wp:posOffset>
                      </wp:positionH>
                      <wp:positionV relativeFrom="paragraph">
                        <wp:posOffset>212725</wp:posOffset>
                      </wp:positionV>
                      <wp:extent cx="616585" cy="25400"/>
                      <wp:effectExtent l="0" t="15875" r="12065" b="15875"/>
                      <wp:wrapNone/>
                      <wp:docPr id="15" name="肘形连接符 15"/>
                      <wp:cNvGraphicFramePr/>
                      <a:graphic xmlns:a="http://schemas.openxmlformats.org/drawingml/2006/main">
                        <a:graphicData uri="http://schemas.microsoft.com/office/word/2010/wordprocessingShape">
                          <wps:wsp>
                            <wps:cNvCnPr/>
                            <wps:spPr>
                              <a:xfrm>
                                <a:off x="0" y="0"/>
                                <a:ext cx="616585" cy="25400"/>
                              </a:xfrm>
                              <a:prstGeom prst="bentConnector3">
                                <a:avLst>
                                  <a:gd name="adj1" fmla="val 50051"/>
                                </a:avLst>
                              </a:prstGeom>
                              <a:ln w="31750"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40.9pt;margin-top:16.75pt;height:2pt;width:48.55pt;z-index:251660288;mso-width-relative:page;mso-height-relative:page;" filled="f" stroked="t" coordsize="21600,21600" o:gfxdata="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P+TP2QAAAAgBAAAPAAAAAAAAAAEAIAAAACIAAABkcnMvZG93&#10;bnJldi54bWxQSwECFAAUAAAACACHTuJARWqTm/8BAADRAwAADgAAAAAAAAABACAAAAAoAQAAZHJz&#10;L2Uyb0RvYy54bWxQSwUGAAAAAAYABgBZAQAAmQUAAAAA&#10;" adj="10811">
                      <v:fill on="f" focussize="0,0"/>
                      <v:stroke weight="2.5pt" color="#000000" joinstyle="miter"/>
                      <v:imagedata o:title=""/>
                      <o:lock v:ext="edit" aspectratio="f"/>
                    </v:shape>
                  </w:pict>
                </mc:Fallback>
              </mc:AlternateContent>
            </w:r>
          </w:p>
        </w:tc>
        <w:tc>
          <w:tcPr>
            <w:tcW w:w="47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tc>
        <w:tc>
          <w:tcPr>
            <w:tcW w:w="479"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0"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9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195"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土建、安装等施工</w:t>
            </w:r>
          </w:p>
        </w:tc>
        <w:tc>
          <w:tcPr>
            <w:tcW w:w="48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tc>
        <w:tc>
          <w:tcPr>
            <w:tcW w:w="479"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299720</wp:posOffset>
                      </wp:positionV>
                      <wp:extent cx="3342640" cy="635"/>
                      <wp:effectExtent l="0" t="15875" r="10160" b="21590"/>
                      <wp:wrapNone/>
                      <wp:docPr id="16" name="直接箭头连接符 16"/>
                      <wp:cNvGraphicFramePr/>
                      <a:graphic xmlns:a="http://schemas.openxmlformats.org/drawingml/2006/main">
                        <a:graphicData uri="http://schemas.microsoft.com/office/word/2010/wordprocessingShape">
                          <wps:wsp>
                            <wps:cNvCnPr/>
                            <wps:spPr>
                              <a:xfrm flipV="1">
                                <a:off x="0" y="0"/>
                                <a:ext cx="3342640" cy="635"/>
                              </a:xfrm>
                              <a:prstGeom prst="straightConnector1">
                                <a:avLst/>
                              </a:prstGeom>
                              <a:ln w="317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5.8pt;margin-top:23.6pt;height:0.05pt;width:263.2pt;z-index:251659264;mso-width-relative:page;mso-height-relative:page;" filled="f" stroked="t" coordsize="21600,21600" o:gfxdata="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0O&#10;ZDnYAAAACQEAAA8AAAAAAAAAAQAgAAAAIgAAAGRycy9kb3ducmV2LnhtbFBLAQIUABQAAAAIAIdO&#10;4kBpVJEI6gEAAK0DAAAOAAAAAAAAAAEAIAAAACcBAABkcnMvZTJvRG9jLnhtbFBLBQYAAAAABgAG&#10;AFkBAACDBQAAAAA=&#10;">
                      <v:fill on="f" focussize="0,0"/>
                      <v:stroke weight="2.5pt" color="#000000" joinstyle="round"/>
                      <v:imagedata o:title=""/>
                      <o:lock v:ext="edit" aspectratio="f"/>
                    </v:shape>
                  </w:pict>
                </mc:Fallback>
              </mc:AlternateContent>
            </w:r>
          </w:p>
        </w:tc>
        <w:tc>
          <w:tcPr>
            <w:tcW w:w="450"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9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195" w:type="pct"/>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竣工验收</w:t>
            </w:r>
          </w:p>
        </w:tc>
        <w:tc>
          <w:tcPr>
            <w:tcW w:w="48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5"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outlineLvl w:val="9"/>
              <w:rPr>
                <w:rFonts w:hint="eastAsia" w:ascii="仿宋_GB2312" w:hAnsi="仿宋_GB2312" w:eastAsia="仿宋_GB2312" w:cs="仿宋_GB2312"/>
                <w:color w:val="auto"/>
                <w:kern w:val="0"/>
                <w:sz w:val="21"/>
                <w:szCs w:val="21"/>
                <w:highlight w:val="none"/>
              </w:rPr>
            </w:pPr>
          </w:p>
        </w:tc>
        <w:tc>
          <w:tcPr>
            <w:tcW w:w="479"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50"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9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84"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c>
          <w:tcPr>
            <w:tcW w:w="47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mc:AlternateContent>
                <mc:Choice Requires="wps">
                  <w:drawing>
                    <wp:anchor distT="0" distB="0" distL="114300" distR="114300" simplePos="0" relativeHeight="251661312" behindDoc="0" locked="0" layoutInCell="1" allowOverlap="1">
                      <wp:simplePos x="0" y="0"/>
                      <wp:positionH relativeFrom="column">
                        <wp:posOffset>508000</wp:posOffset>
                      </wp:positionH>
                      <wp:positionV relativeFrom="paragraph">
                        <wp:posOffset>269875</wp:posOffset>
                      </wp:positionV>
                      <wp:extent cx="443230" cy="12065"/>
                      <wp:effectExtent l="635" t="15875" r="13335" b="29210"/>
                      <wp:wrapNone/>
                      <wp:docPr id="18" name="直接箭头连接符 18"/>
                      <wp:cNvGraphicFramePr/>
                      <a:graphic xmlns:a="http://schemas.openxmlformats.org/drawingml/2006/main">
                        <a:graphicData uri="http://schemas.microsoft.com/office/word/2010/wordprocessingShape">
                          <wps:wsp>
                            <wps:cNvCnPr/>
                            <wps:spPr>
                              <a:xfrm>
                                <a:off x="0" y="0"/>
                                <a:ext cx="443230" cy="12065"/>
                              </a:xfrm>
                              <a:prstGeom prst="straightConnector1">
                                <a:avLst/>
                              </a:prstGeom>
                              <a:ln w="317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0pt;margin-top:21.25pt;height:0.95pt;width:34.9pt;z-index:251661312;mso-width-relative:page;mso-height-relative:page;" filled="f" stroked="t" coordsize="21600,21600" o:gfxdata="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tbjI9YAAAAI&#10;AQAADwAAAAAAAAABACAAAAAiAAAAZHJzL2Rvd25yZXYueG1sUEsBAhQAFAAAAAgAh07iQForGWvl&#10;AQAApAMAAA4AAAAAAAAAAQAgAAAAJQEAAGRycy9lMm9Eb2MueG1sUEsFBgAAAAAGAAYAWQEAAHwF&#10;AAAAAA==&#10;">
                      <v:fill on="f" focussize="0,0"/>
                      <v:stroke weight="2.5pt" color="#000000" joinstyle="round"/>
                      <v:imagedata o:title=""/>
                      <o:lock v:ext="edit" aspectratio="f"/>
                    </v:shape>
                  </w:pict>
                </mc:Fallback>
              </mc:AlternateContent>
            </w:r>
          </w:p>
        </w:tc>
        <w:tc>
          <w:tcPr>
            <w:tcW w:w="457" w:type="pct"/>
            <w:vAlign w:val="top"/>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both"/>
              <w:textAlignment w:val="bottom"/>
              <w:outlineLvl w:val="9"/>
              <w:rPr>
                <w:rFonts w:hint="eastAsia" w:ascii="仿宋_GB2312" w:hAnsi="仿宋_GB2312" w:eastAsia="仿宋_GB2312" w:cs="仿宋_GB2312"/>
                <w:color w:val="auto"/>
                <w:kern w:val="0"/>
                <w:sz w:val="21"/>
                <w:szCs w:val="21"/>
                <w:highlight w:val="none"/>
              </w:rPr>
            </w:pPr>
          </w:p>
        </w:tc>
      </w:tr>
    </w:tbl>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77" w:name="_Toc27164"/>
      <w:bookmarkStart w:id="78" w:name="_Toc21816"/>
      <w:r>
        <w:rPr>
          <w:rFonts w:hint="eastAsia" w:ascii="楷体_GB2312" w:hAnsi="楷体_GB2312" w:eastAsia="楷体_GB2312" w:cs="楷体_GB2312"/>
          <w:sz w:val="32"/>
          <w:szCs w:val="32"/>
          <w:lang w:val="en-US" w:eastAsia="zh-CN"/>
        </w:rPr>
        <w:t>6.2招标方案</w:t>
      </w:r>
      <w:bookmarkEnd w:id="77"/>
      <w:bookmarkEnd w:id="78"/>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根据中华人民共和国国家发改委《必须招标的工程项目规定》(第16号令，2018年6月1日)、自治区建设厅《新疆维吾尔自治区建设工程招标投标管理办法》，项目的勘察、设计、施工、监理以及与工程建设有关的重要设备、材料等的采购，达到下列标准之一的，必须进行招标：</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(一)施工单项合同估算价在400万元人民币以上的；</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(二)重要设备、材料等货物的采购，单项合同估算价在200万元人民币以上的；</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(三)勘察、设计、监理等服务的采购，单项合同估算价在100万元人民币以上的；</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(四)同一项目中可以合并进行的勘察、设计、施工、监理乙级与工程建设有关的重要设备、材料等的采购，合同估算价合计达到前款规定标准的，必须招标。</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本项目的招标活动委托给依法设立、从事招标代理业务并提供相关服务的乙级以上招标代理机构，具体程序如下：</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1、本项目按照国家有关规定先履行项目审批手续，取得批准后委托乙级以上招标代理机构进行公开招标。</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2、招标代理机构在国家指定媒体上发布招标公告。</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3、本项目的招标文件应当包括项目的技术要求、对投标人资格审查的标准，投标报告要求和评标标准等所有实质性要求和条件以及拟签订合同的主要条款。</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施工企业选择招标：施工企业要求资质在市政三级以上，面向全疆及塔城地区公开选择投标人。</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79" w:name="_Toc25961"/>
      <w:bookmarkStart w:id="80" w:name="_Toc7846"/>
      <w:r>
        <w:rPr>
          <w:rFonts w:hint="eastAsia" w:ascii="楷体_GB2312" w:hAnsi="楷体_GB2312" w:eastAsia="楷体_GB2312" w:cs="楷体_GB2312"/>
          <w:sz w:val="32"/>
          <w:szCs w:val="32"/>
          <w:lang w:val="en-US" w:eastAsia="zh-CN"/>
        </w:rPr>
        <w:t>6.3项目公告公示</w:t>
      </w:r>
      <w:bookmarkEnd w:id="79"/>
      <w:bookmarkEnd w:id="80"/>
    </w:p>
    <w:p>
      <w:pPr>
        <w:kinsoku/>
        <w:wordWrap/>
        <w:overflowPunct/>
        <w:topLinePunct w:val="0"/>
        <w:autoSpaceDE/>
        <w:autoSpaceDN/>
        <w:bidi w:val="0"/>
        <w:spacing w:line="500" w:lineRule="exact"/>
        <w:ind w:left="0" w:firstLine="640" w:firstLineChars="200"/>
        <w:rPr>
          <w:rFonts w:hint="eastAsia" w:ascii="仿宋" w:eastAsia="仿宋" w:cs="仿宋"/>
          <w:sz w:val="32"/>
          <w:szCs w:val="32"/>
          <w:lang w:val="en-US" w:eastAsia="zh-CN" w:bidi="ar-SA"/>
        </w:rPr>
      </w:pPr>
      <w:r>
        <w:rPr>
          <w:rFonts w:hint="eastAsia" w:ascii="仿宋" w:eastAsia="仿宋" w:cs="仿宋"/>
          <w:sz w:val="32"/>
          <w:szCs w:val="32"/>
          <w:lang w:val="en-US" w:eastAsia="zh-CN" w:bidi="ar-SA"/>
        </w:rPr>
        <w:t>根据《新疆维吾尔自治区财政衔接推进乡村振兴补助资金（巩固拓展脱贫攻坚成果和乡村振兴任务）项目管理办法（暂行）》的通知 新乡振（2021）32号等文件精神，按事前、事中、事后的方式全方位开展项目公告公示，在项目申报时进行公示，在项目招标及中标后进行公示，在项目完工后进行竣工决算公示，到年底对本单位实施的所有项目进行公告，以上公示公告方式采取公示栏张贴公示、网站公示等方式开展。</w:t>
      </w:r>
    </w:p>
    <w:p>
      <w:pPr>
        <w:kinsoku/>
        <w:wordWrap/>
        <w:overflowPunct/>
        <w:topLinePunct w:val="0"/>
        <w:autoSpaceDE/>
        <w:autoSpaceDN/>
        <w:bidi w:val="0"/>
        <w:spacing w:line="50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本工程招标的基本情况详见《招标基本情况表》</w:t>
      </w:r>
    </w:p>
    <w:tbl>
      <w:tblPr>
        <w:tblStyle w:val="18"/>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801"/>
        <w:gridCol w:w="824"/>
        <w:gridCol w:w="810"/>
        <w:gridCol w:w="818"/>
        <w:gridCol w:w="832"/>
        <w:gridCol w:w="939"/>
        <w:gridCol w:w="1095"/>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8" w:hRule="atLeast"/>
          <w:jc w:val="center"/>
        </w:trPr>
        <w:tc>
          <w:tcPr>
            <w:tcW w:w="1281" w:type="dxa"/>
            <w:vMerge w:val="restart"/>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建设项</w:t>
            </w:r>
          </w:p>
          <w:p>
            <w:pPr>
              <w:jc w:val="center"/>
              <w:rPr>
                <w:rFonts w:hint="eastAsia" w:ascii="仿宋" w:hAnsi="仿宋" w:eastAsia="仿宋" w:cs="仿宋"/>
                <w:color w:val="auto"/>
              </w:rPr>
            </w:pPr>
            <w:r>
              <w:rPr>
                <w:rFonts w:hint="eastAsia" w:ascii="仿宋" w:hAnsi="仿宋" w:eastAsia="仿宋" w:cs="仿宋"/>
                <w:color w:val="auto"/>
                <w:sz w:val="24"/>
              </w:rPr>
              <w:t>目名称</w:t>
            </w:r>
          </w:p>
        </w:tc>
        <w:tc>
          <w:tcPr>
            <w:tcW w:w="1625" w:type="dxa"/>
            <w:gridSpan w:val="2"/>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招标范围</w:t>
            </w:r>
          </w:p>
        </w:tc>
        <w:tc>
          <w:tcPr>
            <w:tcW w:w="1628" w:type="dxa"/>
            <w:gridSpan w:val="2"/>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招标组织形式</w:t>
            </w:r>
          </w:p>
        </w:tc>
        <w:tc>
          <w:tcPr>
            <w:tcW w:w="1771" w:type="dxa"/>
            <w:gridSpan w:val="2"/>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招标方式</w:t>
            </w:r>
          </w:p>
        </w:tc>
        <w:tc>
          <w:tcPr>
            <w:tcW w:w="1095" w:type="dxa"/>
            <w:vMerge w:val="restart"/>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不采用招标方式</w:t>
            </w:r>
          </w:p>
        </w:tc>
        <w:tc>
          <w:tcPr>
            <w:tcW w:w="1257" w:type="dxa"/>
            <w:vMerge w:val="restart"/>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估算</w:t>
            </w:r>
          </w:p>
          <w:p>
            <w:pPr>
              <w:jc w:val="center"/>
              <w:rPr>
                <w:rFonts w:hint="eastAsia" w:ascii="仿宋" w:hAnsi="仿宋" w:eastAsia="仿宋" w:cs="仿宋"/>
                <w:color w:val="auto"/>
                <w:sz w:val="24"/>
              </w:rPr>
            </w:pPr>
            <w:r>
              <w:rPr>
                <w:rFonts w:hint="eastAsia" w:ascii="仿宋" w:hAnsi="仿宋" w:eastAsia="仿宋" w:cs="仿宋"/>
                <w:color w:val="auto"/>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2" w:hRule="atLeast"/>
          <w:jc w:val="center"/>
        </w:trPr>
        <w:tc>
          <w:tcPr>
            <w:tcW w:w="1281" w:type="dxa"/>
            <w:vMerge w:val="continue"/>
            <w:noWrap w:val="0"/>
            <w:vAlign w:val="center"/>
          </w:tcPr>
          <w:p>
            <w:pPr>
              <w:jc w:val="center"/>
              <w:rPr>
                <w:rFonts w:hint="eastAsia" w:ascii="仿宋" w:hAnsi="仿宋" w:eastAsia="仿宋" w:cs="仿宋"/>
                <w:color w:val="auto"/>
                <w:sz w:val="24"/>
              </w:rPr>
            </w:pPr>
          </w:p>
        </w:tc>
        <w:tc>
          <w:tcPr>
            <w:tcW w:w="80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全部</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824"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部分</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810"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自行</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818"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委托</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83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公开</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939"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邀请</w:t>
            </w:r>
          </w:p>
          <w:p>
            <w:pPr>
              <w:jc w:val="center"/>
              <w:rPr>
                <w:rFonts w:hint="eastAsia" w:ascii="仿宋" w:hAnsi="仿宋" w:eastAsia="仿宋" w:cs="仿宋"/>
                <w:color w:val="auto"/>
                <w:sz w:val="24"/>
              </w:rPr>
            </w:pPr>
            <w:r>
              <w:rPr>
                <w:rFonts w:hint="eastAsia" w:ascii="仿宋" w:hAnsi="仿宋" w:eastAsia="仿宋" w:cs="仿宋"/>
                <w:color w:val="auto"/>
                <w:sz w:val="24"/>
              </w:rPr>
              <w:t>招标</w:t>
            </w:r>
          </w:p>
        </w:tc>
        <w:tc>
          <w:tcPr>
            <w:tcW w:w="1095" w:type="dxa"/>
            <w:vMerge w:val="continue"/>
            <w:noWrap w:val="0"/>
            <w:vAlign w:val="center"/>
          </w:tcPr>
          <w:p>
            <w:pPr>
              <w:jc w:val="center"/>
              <w:rPr>
                <w:rFonts w:hint="eastAsia" w:ascii="仿宋" w:hAnsi="仿宋" w:eastAsia="仿宋" w:cs="仿宋"/>
                <w:color w:val="auto"/>
                <w:sz w:val="24"/>
              </w:rPr>
            </w:pPr>
          </w:p>
        </w:tc>
        <w:tc>
          <w:tcPr>
            <w:tcW w:w="1257" w:type="dxa"/>
            <w:vMerge w:val="continue"/>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1281" w:type="dxa"/>
            <w:noWrap w:val="0"/>
            <w:vAlign w:val="center"/>
          </w:tcPr>
          <w:p>
            <w:pPr>
              <w:jc w:val="center"/>
              <w:rPr>
                <w:rFonts w:hint="eastAsia" w:ascii="仿宋" w:hAnsi="仿宋" w:eastAsia="仿宋" w:cs="仿宋"/>
                <w:color w:val="auto"/>
                <w:sz w:val="24"/>
              </w:rPr>
            </w:pPr>
            <w:bookmarkStart w:id="81" w:name="OLE_LINK9" w:colFirst="8" w:colLast="8"/>
            <w:bookmarkStart w:id="82" w:name="_Hlk296648746"/>
            <w:bookmarkStart w:id="83" w:name="OLE_LINK7" w:colFirst="8" w:colLast="8"/>
            <w:bookmarkStart w:id="84" w:name="OLE_LINK8" w:colFirst="8" w:colLast="8"/>
            <w:r>
              <w:rPr>
                <w:rFonts w:hint="eastAsia" w:ascii="仿宋" w:hAnsi="仿宋" w:eastAsia="仿宋" w:cs="仿宋"/>
                <w:color w:val="auto"/>
                <w:sz w:val="24"/>
              </w:rPr>
              <w:t>勘察</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bookmarkEnd w:id="81"/>
      <w:bookmarkEnd w:id="82"/>
      <w:bookmarkEnd w:id="83"/>
      <w:bookmarkEnd w:id="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设计</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建筑工程</w:t>
            </w:r>
          </w:p>
        </w:tc>
        <w:tc>
          <w:tcPr>
            <w:tcW w:w="801"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kern w:val="2"/>
                <w:sz w:val="24"/>
                <w:szCs w:val="22"/>
                <w:lang w:val="en-US" w:eastAsia="zh-CN" w:bidi="ar-SA"/>
              </w:rPr>
            </w:pPr>
            <w:r>
              <w:rPr>
                <w:rFonts w:hint="eastAsia" w:ascii="仿宋" w:hAnsi="仿宋" w:eastAsia="仿宋" w:cs="仿宋"/>
                <w:b/>
                <w:color w:val="auto"/>
                <w:sz w:val="24"/>
              </w:rPr>
              <w:t>√</w:t>
            </w: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095" w:type="dxa"/>
            <w:noWrap w:val="0"/>
            <w:vAlign w:val="center"/>
          </w:tcPr>
          <w:p>
            <w:pPr>
              <w:jc w:val="center"/>
              <w:rPr>
                <w:rFonts w:hint="eastAsia" w:ascii="仿宋" w:hAnsi="仿宋" w:eastAsia="仿宋" w:cs="仿宋"/>
                <w:b/>
                <w:color w:val="auto"/>
                <w:sz w:val="24"/>
              </w:rPr>
            </w:pP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安装工程</w:t>
            </w:r>
          </w:p>
        </w:tc>
        <w:tc>
          <w:tcPr>
            <w:tcW w:w="801"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kern w:val="2"/>
                <w:sz w:val="24"/>
                <w:szCs w:val="22"/>
                <w:lang w:val="en-US" w:eastAsia="zh-CN" w:bidi="ar-SA"/>
              </w:rPr>
            </w:pPr>
            <w:r>
              <w:rPr>
                <w:rFonts w:hint="eastAsia" w:ascii="仿宋" w:hAnsi="仿宋" w:eastAsia="仿宋" w:cs="仿宋"/>
                <w:b/>
                <w:color w:val="auto"/>
                <w:sz w:val="24"/>
              </w:rPr>
              <w:t>√</w:t>
            </w: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095" w:type="dxa"/>
            <w:noWrap w:val="0"/>
            <w:vAlign w:val="center"/>
          </w:tcPr>
          <w:p>
            <w:pPr>
              <w:jc w:val="center"/>
              <w:rPr>
                <w:rFonts w:hint="eastAsia" w:ascii="仿宋" w:hAnsi="仿宋" w:eastAsia="仿宋" w:cs="仿宋"/>
                <w:b/>
                <w:color w:val="auto"/>
                <w:sz w:val="24"/>
              </w:rPr>
            </w:pP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监理</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重要材料</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jc w:val="center"/>
              <w:rPr>
                <w:rFonts w:hint="eastAsia" w:ascii="仿宋" w:hAnsi="仿宋" w:eastAsia="仿宋" w:cs="仿宋"/>
                <w:b/>
                <w:color w:val="auto"/>
                <w:sz w:val="24"/>
              </w:rPr>
            </w:pPr>
          </w:p>
        </w:tc>
        <w:tc>
          <w:tcPr>
            <w:tcW w:w="818" w:type="dxa"/>
            <w:noWrap w:val="0"/>
            <w:vAlign w:val="center"/>
          </w:tcPr>
          <w:p>
            <w:pPr>
              <w:jc w:val="center"/>
              <w:rPr>
                <w:rFonts w:hint="eastAsia" w:ascii="仿宋" w:hAnsi="仿宋" w:eastAsia="仿宋" w:cs="仿宋"/>
                <w:b/>
                <w:color w:val="auto"/>
                <w:kern w:val="2"/>
                <w:sz w:val="24"/>
                <w:szCs w:val="22"/>
                <w:lang w:val="en-US" w:eastAsia="zh-CN" w:bidi="ar-SA"/>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其他</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pStyle w:val="14"/>
              <w:tabs>
                <w:tab w:val="right" w:leader="dot" w:pos="8820"/>
              </w:tabs>
              <w:rPr>
                <w:rFonts w:hint="eastAsia" w:ascii="仿宋" w:hAnsi="仿宋" w:eastAsia="仿宋" w:cs="仿宋"/>
                <w:color w:val="auto"/>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w:t>
            </w:r>
          </w:p>
        </w:tc>
        <w:tc>
          <w:tcPr>
            <w:tcW w:w="1257" w:type="dxa"/>
            <w:noWrap w:val="0"/>
            <w:vAlign w:val="center"/>
          </w:tcPr>
          <w:p>
            <w:pPr>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81"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合计</w:t>
            </w:r>
          </w:p>
        </w:tc>
        <w:tc>
          <w:tcPr>
            <w:tcW w:w="801" w:type="dxa"/>
            <w:noWrap w:val="0"/>
            <w:vAlign w:val="center"/>
          </w:tcPr>
          <w:p>
            <w:pPr>
              <w:jc w:val="center"/>
              <w:rPr>
                <w:rFonts w:hint="eastAsia" w:ascii="仿宋" w:hAnsi="仿宋" w:eastAsia="仿宋" w:cs="仿宋"/>
                <w:b/>
                <w:color w:val="auto"/>
                <w:sz w:val="24"/>
              </w:rPr>
            </w:pPr>
          </w:p>
        </w:tc>
        <w:tc>
          <w:tcPr>
            <w:tcW w:w="824" w:type="dxa"/>
            <w:noWrap w:val="0"/>
            <w:vAlign w:val="center"/>
          </w:tcPr>
          <w:p>
            <w:pPr>
              <w:jc w:val="center"/>
              <w:rPr>
                <w:rFonts w:hint="eastAsia" w:ascii="仿宋" w:hAnsi="仿宋" w:eastAsia="仿宋" w:cs="仿宋"/>
                <w:b/>
                <w:color w:val="auto"/>
                <w:sz w:val="24"/>
              </w:rPr>
            </w:pPr>
          </w:p>
        </w:tc>
        <w:tc>
          <w:tcPr>
            <w:tcW w:w="810" w:type="dxa"/>
            <w:noWrap w:val="0"/>
            <w:vAlign w:val="center"/>
          </w:tcPr>
          <w:p>
            <w:pPr>
              <w:pStyle w:val="14"/>
              <w:tabs>
                <w:tab w:val="right" w:leader="dot" w:pos="8820"/>
              </w:tabs>
              <w:rPr>
                <w:rFonts w:hint="eastAsia" w:ascii="仿宋" w:hAnsi="仿宋" w:eastAsia="仿宋" w:cs="仿宋"/>
                <w:color w:val="auto"/>
              </w:rPr>
            </w:pPr>
          </w:p>
        </w:tc>
        <w:tc>
          <w:tcPr>
            <w:tcW w:w="818" w:type="dxa"/>
            <w:noWrap w:val="0"/>
            <w:vAlign w:val="center"/>
          </w:tcPr>
          <w:p>
            <w:pPr>
              <w:jc w:val="center"/>
              <w:rPr>
                <w:rFonts w:hint="eastAsia" w:ascii="仿宋" w:hAnsi="仿宋" w:eastAsia="仿宋" w:cs="仿宋"/>
                <w:b/>
                <w:color w:val="auto"/>
                <w:sz w:val="24"/>
              </w:rPr>
            </w:pPr>
          </w:p>
        </w:tc>
        <w:tc>
          <w:tcPr>
            <w:tcW w:w="832" w:type="dxa"/>
            <w:noWrap w:val="0"/>
            <w:vAlign w:val="center"/>
          </w:tcPr>
          <w:p>
            <w:pPr>
              <w:jc w:val="center"/>
              <w:rPr>
                <w:rFonts w:hint="eastAsia" w:ascii="仿宋" w:hAnsi="仿宋" w:eastAsia="仿宋" w:cs="仿宋"/>
                <w:b/>
                <w:color w:val="auto"/>
                <w:sz w:val="24"/>
              </w:rPr>
            </w:pPr>
          </w:p>
        </w:tc>
        <w:tc>
          <w:tcPr>
            <w:tcW w:w="939" w:type="dxa"/>
            <w:noWrap w:val="0"/>
            <w:vAlign w:val="center"/>
          </w:tcPr>
          <w:p>
            <w:pPr>
              <w:jc w:val="center"/>
              <w:rPr>
                <w:rFonts w:hint="eastAsia" w:ascii="仿宋" w:hAnsi="仿宋" w:eastAsia="仿宋" w:cs="仿宋"/>
                <w:b/>
                <w:color w:val="auto"/>
                <w:sz w:val="24"/>
              </w:rPr>
            </w:pPr>
          </w:p>
        </w:tc>
        <w:tc>
          <w:tcPr>
            <w:tcW w:w="1095" w:type="dxa"/>
            <w:noWrap w:val="0"/>
            <w:vAlign w:val="center"/>
          </w:tcPr>
          <w:p>
            <w:pPr>
              <w:jc w:val="center"/>
              <w:rPr>
                <w:rFonts w:hint="eastAsia" w:ascii="仿宋" w:hAnsi="仿宋" w:eastAsia="仿宋" w:cs="仿宋"/>
                <w:b/>
                <w:color w:val="auto"/>
                <w:sz w:val="24"/>
              </w:rPr>
            </w:pPr>
          </w:p>
        </w:tc>
        <w:tc>
          <w:tcPr>
            <w:tcW w:w="1257" w:type="dxa"/>
            <w:noWrap w:val="0"/>
            <w:vAlign w:val="center"/>
          </w:tcPr>
          <w:p>
            <w:pPr>
              <w:jc w:val="center"/>
              <w:rPr>
                <w:rFonts w:hint="eastAsia" w:ascii="仿宋" w:hAnsi="仿宋" w:eastAsia="仿宋" w:cs="仿宋"/>
                <w:color w:val="auto"/>
                <w:sz w:val="24"/>
              </w:rPr>
            </w:pPr>
          </w:p>
        </w:tc>
      </w:tr>
    </w:tbl>
    <w:p>
      <w:pPr>
        <w:pStyle w:val="25"/>
        <w:spacing w:line="500" w:lineRule="exact"/>
        <w:ind w:firstLine="0" w:firstLineChars="0"/>
        <w:outlineLvl w:val="0"/>
        <w:rPr>
          <w:rFonts w:hint="eastAsia" w:ascii="黑体" w:hAnsi="黑体" w:eastAsia="黑体" w:cs="黑体"/>
          <w:b w:val="0"/>
          <w:bCs w:val="0"/>
          <w:sz w:val="30"/>
          <w:szCs w:val="30"/>
          <w:lang w:val="en-US" w:eastAsia="zh-CN"/>
        </w:rPr>
      </w:pPr>
      <w:bookmarkStart w:id="85" w:name="_Toc22859"/>
      <w:bookmarkStart w:id="86" w:name="_Toc4116"/>
      <w:r>
        <w:rPr>
          <w:rFonts w:hint="eastAsia" w:ascii="黑体" w:hAnsi="黑体" w:eastAsia="黑体" w:cs="黑体"/>
          <w:b w:val="0"/>
          <w:bCs w:val="0"/>
          <w:sz w:val="30"/>
          <w:szCs w:val="30"/>
          <w:lang w:val="en-US" w:eastAsia="zh-CN"/>
        </w:rPr>
        <w:t>7.项目绩效目标及效益分析</w:t>
      </w:r>
      <w:bookmarkEnd w:id="85"/>
      <w:bookmarkEnd w:id="86"/>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87" w:name="_Toc29330"/>
      <w:bookmarkStart w:id="88" w:name="_Toc2627"/>
      <w:r>
        <w:rPr>
          <w:rFonts w:hint="eastAsia" w:ascii="楷体_GB2312" w:hAnsi="楷体_GB2312" w:eastAsia="楷体_GB2312" w:cs="楷体_GB2312"/>
          <w:sz w:val="32"/>
          <w:szCs w:val="32"/>
          <w:lang w:val="en-US" w:eastAsia="zh-CN"/>
        </w:rPr>
        <w:t>7.1年度目标</w:t>
      </w:r>
      <w:bookmarkEnd w:id="87"/>
      <w:bookmarkEnd w:id="88"/>
    </w:p>
    <w:p>
      <w:pPr>
        <w:kinsoku/>
        <w:wordWrap/>
        <w:overflowPunct/>
        <w:topLinePunct w:val="0"/>
        <w:autoSpaceDE/>
        <w:autoSpaceDN/>
        <w:bidi w:val="0"/>
        <w:spacing w:line="500" w:lineRule="exact"/>
        <w:rPr>
          <w:rFonts w:hint="eastAsia" w:ascii="仿宋" w:hAnsi="仿宋" w:eastAsia="仿宋" w:cs="仿宋"/>
          <w:sz w:val="32"/>
          <w:szCs w:val="32"/>
        </w:rPr>
      </w:pPr>
      <w:r>
        <w:rPr>
          <w:rFonts w:hint="eastAsia" w:ascii="仿宋" w:hAnsi="仿宋" w:eastAsia="仿宋" w:cs="仿宋"/>
          <w:sz w:val="32"/>
          <w:szCs w:val="32"/>
        </w:rPr>
        <w:t>7.1.1项目覆盖情况</w:t>
      </w:r>
    </w:p>
    <w:p>
      <w:pPr>
        <w:kinsoku/>
        <w:wordWrap/>
        <w:overflowPunct/>
        <w:topLinePunct w:val="0"/>
        <w:autoSpaceDE/>
        <w:autoSpaceDN/>
        <w:bidi w:val="0"/>
        <w:spacing w:line="500" w:lineRule="exact"/>
        <w:ind w:left="0" w:firstLine="640" w:firstLineChars="200"/>
        <w:rPr>
          <w:rFonts w:hint="eastAsia" w:asciiTheme="minorHAnsi" w:hAnsiTheme="minorHAnsi" w:eastAsiaTheme="minorEastAsia" w:cstheme="minorBidi"/>
          <w:kern w:val="2"/>
          <w:sz w:val="32"/>
          <w:szCs w:val="32"/>
          <w:lang w:val="en-US" w:eastAsia="zh-CN" w:bidi="ar-SA"/>
        </w:rPr>
      </w:pPr>
      <w:r>
        <w:rPr>
          <w:rFonts w:hint="eastAsia" w:ascii="仿宋" w:eastAsia="仿宋" w:cs="仿宋"/>
          <w:sz w:val="32"/>
          <w:szCs w:val="32"/>
          <w:lang w:val="en-US" w:eastAsia="zh-CN" w:bidi="ar-SA"/>
        </w:rPr>
        <w:t>本项目认真贯彻落实乡村振兴战略，塔城市二工镇</w:t>
      </w:r>
      <w:r>
        <w:rPr>
          <w:rFonts w:hint="eastAsia" w:ascii="仿宋" w:hAnsi="仿宋" w:eastAsia="仿宋" w:cs="仿宋"/>
          <w:sz w:val="32"/>
          <w:szCs w:val="32"/>
          <w:lang w:val="en-US" w:eastAsia="zh-CN"/>
        </w:rPr>
        <w:t>人民政府</w:t>
      </w:r>
      <w:r>
        <w:rPr>
          <w:rFonts w:hint="eastAsia" w:ascii="仿宋" w:eastAsia="仿宋" w:cs="仿宋"/>
          <w:sz w:val="32"/>
          <w:szCs w:val="32"/>
          <w:lang w:val="en-US" w:eastAsia="zh-CN" w:bidi="ar-SA"/>
        </w:rPr>
        <w:t>在将各项惠民政策落到实处的同时，根据二工村、乌宗阿尕什村、吐马克齐村实际，助力村民生活上新水平，村庄环境展新面貌，村庄的农牧业发展。对促进本地区的社会和经济发展具有十分重要的意义。</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89" w:name="_Toc9108"/>
      <w:bookmarkStart w:id="90" w:name="_Toc15114"/>
      <w:r>
        <w:rPr>
          <w:rFonts w:hint="eastAsia" w:ascii="楷体_GB2312" w:hAnsi="楷体_GB2312" w:eastAsia="楷体_GB2312" w:cs="楷体_GB2312"/>
          <w:sz w:val="32"/>
          <w:szCs w:val="32"/>
          <w:lang w:val="en-US" w:eastAsia="zh-CN"/>
        </w:rPr>
        <w:t>7.2经济效益分析</w:t>
      </w:r>
      <w:bookmarkEnd w:id="89"/>
      <w:bookmarkEnd w:id="90"/>
    </w:p>
    <w:p>
      <w:pPr>
        <w:pStyle w:val="25"/>
        <w:spacing w:line="500" w:lineRule="exact"/>
        <w:ind w:firstLine="0" w:firstLineChars="0"/>
        <w:outlineLvl w:val="1"/>
        <w:rPr>
          <w:rFonts w:hint="eastAsia"/>
          <w:sz w:val="32"/>
          <w:szCs w:val="32"/>
          <w:lang w:val="en-US" w:eastAsia="zh-CN"/>
        </w:rPr>
      </w:pPr>
      <w:r>
        <w:rPr>
          <w:rFonts w:hint="eastAsia" w:ascii="仿宋" w:hAnsi="仿宋" w:eastAsia="仿宋" w:cs="仿宋"/>
          <w:sz w:val="32"/>
          <w:szCs w:val="32"/>
        </w:rPr>
        <w:t>7.2.</w:t>
      </w:r>
      <w:r>
        <w:rPr>
          <w:rFonts w:hint="eastAsia" w:ascii="仿宋" w:hAnsi="仿宋" w:eastAsia="仿宋" w:cs="仿宋"/>
          <w:sz w:val="32"/>
          <w:szCs w:val="32"/>
          <w:lang w:val="en-US" w:eastAsia="zh-CN"/>
        </w:rPr>
        <w:t>1绩效目标</w:t>
      </w:r>
    </w:p>
    <w:p>
      <w:pPr>
        <w:pStyle w:val="5"/>
        <w:numPr>
          <w:ilvl w:val="2"/>
          <w:numId w:val="0"/>
        </w:numPr>
        <w:tabs>
          <w:tab w:val="clear" w:pos="2127"/>
        </w:tabs>
        <w:rPr>
          <w:rFonts w:hint="eastAsia"/>
          <w:lang w:val="en-US" w:eastAsia="zh-CN"/>
        </w:rPr>
      </w:pPr>
    </w:p>
    <w:tbl>
      <w:tblPr>
        <w:tblW w:w="9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5"/>
        <w:gridCol w:w="1323"/>
        <w:gridCol w:w="1488"/>
        <w:gridCol w:w="1629"/>
        <w:gridCol w:w="2190"/>
        <w:gridCol w:w="599"/>
        <w:gridCol w:w="1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9870"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 w:hRule="atLeast"/>
        </w:trPr>
        <w:tc>
          <w:tcPr>
            <w:tcW w:w="9870" w:type="dxa"/>
            <w:gridSpan w:val="7"/>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0" w:hRule="atLeast"/>
        </w:trPr>
        <w:tc>
          <w:tcPr>
            <w:tcW w:w="205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31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塔城市二工镇二工村、乌宗阿尕什村、吐马克齐村暖圈项目</w:t>
            </w:r>
          </w:p>
        </w:tc>
        <w:tc>
          <w:tcPr>
            <w:tcW w:w="21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项目负责人及联系电话</w:t>
            </w:r>
          </w:p>
        </w:tc>
        <w:tc>
          <w:tcPr>
            <w:tcW w:w="250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帕尔哈提13319017127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trPr>
        <w:tc>
          <w:tcPr>
            <w:tcW w:w="205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主管部门</w:t>
            </w:r>
          </w:p>
        </w:tc>
        <w:tc>
          <w:tcPr>
            <w:tcW w:w="31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塔城市乡村振兴局</w:t>
            </w:r>
          </w:p>
        </w:tc>
        <w:tc>
          <w:tcPr>
            <w:tcW w:w="21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实施单位</w:t>
            </w:r>
          </w:p>
        </w:tc>
        <w:tc>
          <w:tcPr>
            <w:tcW w:w="250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塔城市二工镇人民政府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4" w:hRule="atLeast"/>
        </w:trPr>
        <w:tc>
          <w:tcPr>
            <w:tcW w:w="2058"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资金情况</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（万元）</w:t>
            </w:r>
          </w:p>
        </w:tc>
        <w:tc>
          <w:tcPr>
            <w:tcW w:w="31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年度资金总额：</w:t>
            </w:r>
          </w:p>
        </w:tc>
        <w:tc>
          <w:tcPr>
            <w:tcW w:w="469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9" w:hRule="atLeast"/>
        </w:trPr>
        <w:tc>
          <w:tcPr>
            <w:tcW w:w="2058"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其中：财政拨款</w:t>
            </w:r>
          </w:p>
        </w:tc>
        <w:tc>
          <w:tcPr>
            <w:tcW w:w="469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9" w:hRule="atLeast"/>
        </w:trPr>
        <w:tc>
          <w:tcPr>
            <w:tcW w:w="2058"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1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其他资金</w:t>
            </w:r>
          </w:p>
        </w:tc>
        <w:tc>
          <w:tcPr>
            <w:tcW w:w="469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体</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目</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标</w:t>
            </w:r>
          </w:p>
        </w:tc>
        <w:tc>
          <w:tcPr>
            <w:tcW w:w="9135"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35"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项目总投资237万元，用于在天羊牧业园区建设3座800平方米圈舍及配套设施，用于二工村、乌宗阿尕什村、吐马克齐村发展本村畜牧业，固定资产收益由村集体收益。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2"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效</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标</w:t>
            </w:r>
          </w:p>
        </w:tc>
        <w:tc>
          <w:tcPr>
            <w:tcW w:w="13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一级指标</w:t>
            </w:r>
          </w:p>
        </w:tc>
        <w:tc>
          <w:tcPr>
            <w:tcW w:w="1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二级指标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三级指标</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产出指标</w:t>
            </w:r>
          </w:p>
        </w:tc>
        <w:tc>
          <w:tcPr>
            <w:tcW w:w="148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数量指标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建设圈舍面积</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‘=800平方米/座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新建圈舍数量</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vMerge w:val="restart"/>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项目（工程）验收合格率</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7"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vMerge w:val="continue"/>
            <w:tcBorders>
              <w:top w:val="nil"/>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资金支付及时率</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时效指标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项目开工时间</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2024年4月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项目完工时间</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2024年11月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成本指标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圈舍及配套设施</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=79万元/座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restart"/>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效益指标</w:t>
            </w:r>
          </w:p>
        </w:tc>
        <w:tc>
          <w:tcPr>
            <w:tcW w:w="1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项目设计使用年限</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continue"/>
            <w:tcBorders>
              <w:top w:val="nil"/>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项目运行一年后村集体分红比例</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continue"/>
            <w:tcBorders>
              <w:top w:val="nil"/>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受益人口数</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2"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vMerge w:val="continue"/>
            <w:tcBorders>
              <w:top w:val="nil"/>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14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服务对象</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满意度指标</w:t>
            </w:r>
          </w:p>
        </w:tc>
        <w:tc>
          <w:tcPr>
            <w:tcW w:w="441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项目所在村受益人满意度</w:t>
            </w:r>
          </w:p>
        </w:tc>
        <w:tc>
          <w:tcPr>
            <w:tcW w:w="19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w:t>
            </w:r>
          </w:p>
        </w:tc>
      </w:tr>
    </w:tbl>
    <w:p>
      <w:pPr>
        <w:rPr>
          <w:rFonts w:hint="eastAsia"/>
          <w:lang w:val="en-US" w:eastAsia="zh-CN"/>
        </w:rPr>
        <w:sectPr>
          <w:pgSz w:w="11900" w:h="16838"/>
          <w:pgMar w:top="1440" w:right="1797" w:bottom="1440" w:left="1797" w:header="850" w:footer="992" w:gutter="0"/>
          <w:pgBorders>
            <w:top w:val="none" w:sz="0" w:space="0"/>
            <w:left w:val="none" w:sz="0" w:space="0"/>
            <w:bottom w:val="none" w:sz="0" w:space="0"/>
            <w:right w:val="none" w:sz="0" w:space="0"/>
          </w:pgBorders>
          <w:pgNumType w:fmt="decimal" w:chapStyle="1"/>
          <w:cols w:space="0" w:num="1"/>
          <w:rtlGutter w:val="0"/>
          <w:docGrid w:linePitch="381" w:charSpace="0"/>
        </w:sectPr>
      </w:pPr>
    </w:p>
    <w:p>
      <w:pPr>
        <w:kinsoku/>
        <w:wordWrap/>
        <w:overflowPunct/>
        <w:topLinePunct w:val="0"/>
        <w:autoSpaceDE/>
        <w:autoSpaceDN/>
        <w:bidi w:val="0"/>
        <w:spacing w:line="500" w:lineRule="exact"/>
        <w:rPr>
          <w:rFonts w:hint="eastAsia" w:ascii="仿宋" w:eastAsia="仿宋" w:cs="仿宋"/>
          <w:sz w:val="32"/>
          <w:szCs w:val="32"/>
          <w:lang w:eastAsia="zh-CN" w:bidi="ar-SA"/>
        </w:rPr>
      </w:pPr>
      <w:bookmarkStart w:id="91" w:name="_Toc24799"/>
      <w:r>
        <w:rPr>
          <w:rFonts w:hint="eastAsia" w:ascii="仿宋" w:eastAsia="仿宋" w:cs="仿宋"/>
          <w:sz w:val="32"/>
          <w:szCs w:val="32"/>
          <w:lang w:eastAsia="zh-CN" w:bidi="ar-SA"/>
        </w:rPr>
        <w:t>7.2.</w:t>
      </w:r>
      <w:r>
        <w:rPr>
          <w:rFonts w:hint="eastAsia" w:ascii="仿宋" w:eastAsia="仿宋" w:cs="仿宋"/>
          <w:sz w:val="32"/>
          <w:szCs w:val="32"/>
          <w:lang w:val="en-US" w:eastAsia="zh-CN" w:bidi="ar-SA"/>
        </w:rPr>
        <w:t>2</w:t>
      </w:r>
      <w:r>
        <w:rPr>
          <w:rFonts w:hint="eastAsia" w:ascii="仿宋" w:eastAsia="仿宋" w:cs="仿宋"/>
          <w:sz w:val="32"/>
          <w:szCs w:val="32"/>
          <w:lang w:eastAsia="zh-CN" w:bidi="ar-SA"/>
        </w:rPr>
        <w:t>直接效益</w:t>
      </w:r>
    </w:p>
    <w:p>
      <w:pPr>
        <w:kinsoku/>
        <w:wordWrap/>
        <w:overflowPunct/>
        <w:topLinePunct w:val="0"/>
        <w:autoSpaceDE/>
        <w:autoSpaceDN/>
        <w:bidi w:val="0"/>
        <w:spacing w:line="500" w:lineRule="exact"/>
        <w:ind w:left="0" w:firstLine="640" w:firstLineChars="200"/>
        <w:rPr>
          <w:rFonts w:hint="default" w:ascii="仿宋" w:eastAsia="仿宋" w:cs="仿宋"/>
          <w:sz w:val="32"/>
          <w:szCs w:val="32"/>
          <w:lang w:val="en-US" w:eastAsia="zh-CN" w:bidi="ar-SA"/>
        </w:rPr>
      </w:pPr>
      <w:r>
        <w:rPr>
          <w:rFonts w:hint="eastAsia" w:ascii="仿宋" w:eastAsia="仿宋" w:cs="仿宋"/>
          <w:sz w:val="32"/>
          <w:szCs w:val="32"/>
          <w:lang w:val="en-US" w:eastAsia="zh-CN" w:bidi="ar-SA"/>
        </w:rPr>
        <w:t>通过项目实施，能进一步带动本地区养殖业发展，促进当地产业发展，通过项目资产对外承包等方式项目所在社区获得收益，能增加社区集体收入，发展壮大村集体经济。</w:t>
      </w:r>
      <w:r>
        <w:rPr>
          <w:rFonts w:hint="eastAsia" w:ascii="仿宋" w:eastAsia="仿宋" w:cs="仿宋"/>
          <w:sz w:val="32"/>
          <w:szCs w:val="32"/>
          <w:lang w:eastAsia="zh-CN" w:bidi="ar-SA"/>
        </w:rPr>
        <w:t>项目运行一年后村集体分红比例</w:t>
      </w:r>
      <w:r>
        <w:rPr>
          <w:rFonts w:hint="eastAsia" w:ascii="仿宋" w:eastAsia="仿宋" w:cs="仿宋"/>
          <w:sz w:val="32"/>
          <w:szCs w:val="32"/>
          <w:lang w:val="en-US" w:eastAsia="zh-CN" w:bidi="ar-SA"/>
        </w:rPr>
        <w:t>为5%。</w:t>
      </w:r>
    </w:p>
    <w:p>
      <w:pPr>
        <w:kinsoku/>
        <w:wordWrap/>
        <w:overflowPunct/>
        <w:topLinePunct w:val="0"/>
        <w:autoSpaceDE/>
        <w:autoSpaceDN/>
        <w:bidi w:val="0"/>
        <w:spacing w:line="500" w:lineRule="exact"/>
        <w:rPr>
          <w:rFonts w:ascii="仿宋" w:hAnsi="仿宋" w:eastAsia="仿宋" w:cs="仿宋"/>
          <w:sz w:val="32"/>
          <w:szCs w:val="32"/>
        </w:rPr>
      </w:pPr>
      <w:r>
        <w:rPr>
          <w:rFonts w:hint="eastAsia" w:ascii="仿宋" w:hAnsi="仿宋" w:eastAsia="仿宋" w:cs="仿宋"/>
          <w:sz w:val="32"/>
          <w:szCs w:val="32"/>
          <w:lang w:val="en-US" w:eastAsia="zh-CN"/>
        </w:rPr>
        <w:t>7.2.3</w:t>
      </w:r>
      <w:r>
        <w:rPr>
          <w:rFonts w:hint="eastAsia" w:ascii="仿宋" w:hAnsi="仿宋" w:eastAsia="仿宋" w:cs="仿宋"/>
          <w:sz w:val="32"/>
          <w:szCs w:val="32"/>
        </w:rPr>
        <w:t>间接效益</w:t>
      </w:r>
      <w:bookmarkEnd w:id="91"/>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val="en-US" w:eastAsia="zh-CN" w:bidi="ar-SA"/>
        </w:rPr>
        <w:t>项目</w:t>
      </w:r>
      <w:r>
        <w:rPr>
          <w:rFonts w:hint="eastAsia" w:ascii="仿宋" w:eastAsia="仿宋" w:cs="仿宋"/>
          <w:sz w:val="32"/>
          <w:szCs w:val="32"/>
          <w:lang w:eastAsia="zh-CN" w:bidi="ar-SA"/>
        </w:rPr>
        <w:t>在建设实施期间可提供本地区居民就业机会和就业人数，从而增加居民收入和就业机会。</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92" w:name="_Toc9761"/>
      <w:bookmarkStart w:id="93" w:name="_Toc2937"/>
      <w:r>
        <w:rPr>
          <w:rFonts w:hint="eastAsia" w:ascii="楷体_GB2312" w:hAnsi="楷体_GB2312" w:eastAsia="楷体_GB2312" w:cs="楷体_GB2312"/>
          <w:sz w:val="32"/>
          <w:szCs w:val="32"/>
          <w:lang w:val="en-US" w:eastAsia="zh-CN"/>
        </w:rPr>
        <w:t>7.3社会效益</w:t>
      </w:r>
      <w:bookmarkEnd w:id="92"/>
      <w:bookmarkEnd w:id="93"/>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1、项目的建设改善了项目区居民的生产条件，对加快</w:t>
      </w:r>
      <w:r>
        <w:rPr>
          <w:rFonts w:hint="eastAsia" w:ascii="仿宋" w:eastAsia="仿宋" w:cs="仿宋"/>
          <w:sz w:val="32"/>
          <w:szCs w:val="32"/>
          <w:lang w:val="en-US" w:eastAsia="zh-CN" w:bidi="ar-SA"/>
        </w:rPr>
        <w:t>畜牧业</w:t>
      </w:r>
      <w:r>
        <w:rPr>
          <w:rFonts w:hint="eastAsia" w:ascii="仿宋" w:eastAsia="仿宋" w:cs="仿宋"/>
          <w:sz w:val="32"/>
          <w:szCs w:val="32"/>
          <w:lang w:eastAsia="zh-CN" w:bidi="ar-SA"/>
        </w:rPr>
        <w:t>发展，改善项目区生活条件等有着积极的作用和意义。</w:t>
      </w:r>
    </w:p>
    <w:p>
      <w:pPr>
        <w:kinsoku/>
        <w:wordWrap/>
        <w:overflowPunct/>
        <w:topLinePunct w:val="0"/>
        <w:autoSpaceDE/>
        <w:autoSpaceDN/>
        <w:bidi w:val="0"/>
        <w:spacing w:line="500" w:lineRule="exact"/>
        <w:ind w:left="0" w:firstLine="640" w:firstLineChars="200"/>
        <w:rPr>
          <w:rFonts w:hint="default" w:ascii="仿宋" w:eastAsia="仿宋" w:cs="仿宋"/>
          <w:sz w:val="32"/>
          <w:szCs w:val="32"/>
          <w:lang w:val="en-US" w:eastAsia="zh-CN" w:bidi="ar-SA"/>
        </w:rPr>
      </w:pPr>
      <w:r>
        <w:rPr>
          <w:rFonts w:hint="eastAsia" w:ascii="仿宋" w:eastAsia="仿宋" w:cs="仿宋"/>
          <w:sz w:val="32"/>
          <w:szCs w:val="32"/>
          <w:lang w:eastAsia="zh-CN" w:bidi="ar-SA"/>
        </w:rPr>
        <w:t>2、项目的建设，可以满足塔城市</w:t>
      </w:r>
      <w:r>
        <w:rPr>
          <w:rFonts w:hint="eastAsia" w:ascii="仿宋" w:eastAsia="仿宋" w:cs="仿宋"/>
          <w:sz w:val="32"/>
          <w:szCs w:val="32"/>
          <w:lang w:val="en-US" w:eastAsia="zh-CN" w:bidi="ar-SA"/>
        </w:rPr>
        <w:t>二工镇养殖业</w:t>
      </w:r>
      <w:r>
        <w:rPr>
          <w:rFonts w:hint="eastAsia" w:ascii="仿宋" w:eastAsia="仿宋" w:cs="仿宋"/>
          <w:sz w:val="32"/>
          <w:szCs w:val="32"/>
          <w:lang w:eastAsia="zh-CN" w:bidi="ar-SA"/>
        </w:rPr>
        <w:t>经济发展对基础设施环境条件改变的要求，</w:t>
      </w:r>
      <w:r>
        <w:rPr>
          <w:rFonts w:hint="eastAsia" w:ascii="仿宋" w:eastAsia="仿宋" w:cs="仿宋"/>
          <w:sz w:val="32"/>
          <w:szCs w:val="32"/>
          <w:lang w:val="en-US" w:eastAsia="zh-CN" w:bidi="ar-SA"/>
        </w:rPr>
        <w:t>受益人口数1177人。</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3、项目的建设，可改善项目区周边环境，促进塔城市</w:t>
      </w:r>
      <w:r>
        <w:rPr>
          <w:rFonts w:hint="eastAsia" w:ascii="仿宋" w:eastAsia="仿宋" w:cs="仿宋"/>
          <w:sz w:val="32"/>
          <w:szCs w:val="32"/>
          <w:lang w:val="en-US" w:eastAsia="zh-CN" w:bidi="ar-SA"/>
        </w:rPr>
        <w:t>二工镇二工村、乌宗阿尕什村、吐马克齐村产业</w:t>
      </w:r>
      <w:r>
        <w:rPr>
          <w:rFonts w:hint="eastAsia" w:ascii="仿宋" w:eastAsia="仿宋" w:cs="仿宋"/>
          <w:sz w:val="32"/>
          <w:szCs w:val="32"/>
          <w:lang w:eastAsia="zh-CN" w:bidi="ar-SA"/>
        </w:rPr>
        <w:t>进发展。</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根据建设项目对社会的影响分析、项目与所在地区互适性分析和社会风险分析，可以看出，本项目建成后，将</w:t>
      </w:r>
      <w:r>
        <w:rPr>
          <w:rFonts w:hint="eastAsia" w:ascii="仿宋" w:eastAsia="仿宋" w:cs="仿宋"/>
          <w:sz w:val="32"/>
          <w:szCs w:val="32"/>
          <w:lang w:val="en-US" w:eastAsia="zh-CN" w:bidi="ar-SA"/>
        </w:rPr>
        <w:t>有效增加塔城市二工镇二工村、乌宗阿尕什村、吐马克齐村集体经济收益</w:t>
      </w:r>
      <w:r>
        <w:rPr>
          <w:rFonts w:hint="eastAsia" w:ascii="仿宋" w:eastAsia="仿宋" w:cs="仿宋"/>
          <w:sz w:val="32"/>
          <w:szCs w:val="32"/>
          <w:lang w:eastAsia="zh-CN" w:bidi="ar-SA"/>
        </w:rPr>
        <w:t>，提升</w:t>
      </w:r>
      <w:r>
        <w:rPr>
          <w:rFonts w:hint="eastAsia" w:ascii="仿宋" w:eastAsia="仿宋" w:cs="仿宋"/>
          <w:sz w:val="32"/>
          <w:szCs w:val="32"/>
          <w:lang w:val="en-US" w:eastAsia="zh-CN" w:bidi="ar-SA"/>
        </w:rPr>
        <w:t>当地</w:t>
      </w:r>
      <w:r>
        <w:rPr>
          <w:rFonts w:hint="eastAsia" w:ascii="仿宋" w:eastAsia="仿宋" w:cs="仿宋"/>
          <w:sz w:val="32"/>
          <w:szCs w:val="32"/>
          <w:lang w:eastAsia="zh-CN" w:bidi="ar-SA"/>
        </w:rPr>
        <w:t>政府党政机关形象，为</w:t>
      </w:r>
      <w:r>
        <w:rPr>
          <w:rFonts w:hint="eastAsia" w:ascii="仿宋" w:eastAsia="仿宋" w:cs="仿宋"/>
          <w:sz w:val="32"/>
          <w:szCs w:val="32"/>
          <w:lang w:val="en-US" w:eastAsia="zh-CN" w:bidi="ar-SA"/>
        </w:rPr>
        <w:t>养殖业</w:t>
      </w:r>
      <w:r>
        <w:rPr>
          <w:rFonts w:hint="eastAsia" w:ascii="仿宋" w:eastAsia="仿宋" w:cs="仿宋"/>
          <w:sz w:val="32"/>
          <w:szCs w:val="32"/>
          <w:lang w:eastAsia="zh-CN" w:bidi="ar-SA"/>
        </w:rPr>
        <w:t>发展夯实基础。</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本次建设项目具有显著的经济效益，必定备受多方关注和支持，虽然在建设过程甚至运营期间都会产生一些负面影响，但是，只要措施得当，一定能将负面影响降到最低，使其正面影响最大化，实现项目建设的最终目的。</w:t>
      </w:r>
    </w:p>
    <w:p>
      <w:pPr>
        <w:kinsoku/>
        <w:wordWrap/>
        <w:overflowPunct/>
        <w:topLinePunct w:val="0"/>
        <w:autoSpaceDE/>
        <w:autoSpaceDN/>
        <w:bidi w:val="0"/>
        <w:spacing w:line="500" w:lineRule="exact"/>
        <w:ind w:left="0" w:firstLine="640" w:firstLineChars="200"/>
        <w:rPr>
          <w:rFonts w:hint="eastAsia" w:ascii="仿宋" w:eastAsia="仿宋" w:cs="仿宋"/>
          <w:sz w:val="32"/>
          <w:szCs w:val="32"/>
          <w:lang w:eastAsia="zh-CN" w:bidi="ar-SA"/>
        </w:rPr>
      </w:pPr>
      <w:r>
        <w:rPr>
          <w:rFonts w:hint="eastAsia" w:ascii="仿宋" w:eastAsia="仿宋" w:cs="仿宋"/>
          <w:sz w:val="32"/>
          <w:szCs w:val="32"/>
          <w:lang w:eastAsia="zh-CN" w:bidi="ar-SA"/>
        </w:rPr>
        <w:t>综合多方位的调查研究得出结论，本项目功能与项目区的社会和经济发展水平相适应，具有较好的社会效益及经济效益，项目的社会评价可行。</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94" w:name="_Toc28564"/>
      <w:bookmarkStart w:id="95" w:name="_Toc31084"/>
      <w:r>
        <w:rPr>
          <w:rFonts w:hint="eastAsia" w:ascii="楷体_GB2312" w:hAnsi="楷体_GB2312" w:eastAsia="楷体_GB2312" w:cs="楷体_GB2312"/>
          <w:sz w:val="32"/>
          <w:szCs w:val="32"/>
          <w:lang w:val="en-US" w:eastAsia="zh-CN"/>
        </w:rPr>
        <w:t>7.4可持续性影响</w:t>
      </w:r>
      <w:bookmarkEnd w:id="94"/>
      <w:bookmarkEnd w:id="95"/>
    </w:p>
    <w:p>
      <w:pPr>
        <w:kinsoku/>
        <w:wordWrap/>
        <w:overflowPunct/>
        <w:topLinePunct w:val="0"/>
        <w:autoSpaceDE/>
        <w:autoSpaceDN/>
        <w:bidi w:val="0"/>
        <w:spacing w:line="500" w:lineRule="exact"/>
        <w:ind w:left="0" w:firstLine="640" w:firstLineChars="200"/>
        <w:rPr>
          <w:rFonts w:hint="eastAsia" w:ascii="仿宋" w:eastAsia="仿宋" w:cs="仿宋" w:hAnsiTheme="minorHAnsi"/>
          <w:kern w:val="2"/>
          <w:sz w:val="32"/>
          <w:szCs w:val="32"/>
          <w:lang w:val="en-US" w:eastAsia="zh-CN" w:bidi="ar-SA"/>
        </w:rPr>
      </w:pPr>
      <w:r>
        <w:rPr>
          <w:rFonts w:hint="eastAsia" w:ascii="仿宋" w:hAnsi="Times New Roman" w:eastAsia="仿宋" w:cs="仿宋"/>
          <w:bCs/>
          <w:sz w:val="32"/>
          <w:szCs w:val="32"/>
          <w:lang w:val="en-US" w:eastAsia="zh-CN" w:bidi="ar-SA"/>
        </w:rPr>
        <w:t>塔城市二工镇二工村、乌宗阿尕什村、吐马克齐村暖圈项目</w:t>
      </w:r>
      <w:r>
        <w:rPr>
          <w:rFonts w:hint="eastAsia" w:ascii="仿宋" w:eastAsia="仿宋" w:cs="仿宋" w:hAnsiTheme="minorHAnsi"/>
          <w:kern w:val="2"/>
          <w:sz w:val="32"/>
          <w:szCs w:val="32"/>
          <w:lang w:val="en-US" w:eastAsia="zh-CN" w:bidi="ar-SA"/>
        </w:rPr>
        <w:t>，改善了</w:t>
      </w:r>
      <w:r>
        <w:rPr>
          <w:rFonts w:hint="eastAsia" w:ascii="仿宋" w:eastAsia="仿宋" w:cs="仿宋"/>
          <w:kern w:val="2"/>
          <w:sz w:val="32"/>
          <w:szCs w:val="32"/>
          <w:lang w:val="en-US" w:eastAsia="zh-CN" w:bidi="ar-SA"/>
        </w:rPr>
        <w:t>二工镇二工村、乌宗阿尕什村、吐马克齐村产业发展，壮大社区集体经济</w:t>
      </w:r>
      <w:r>
        <w:rPr>
          <w:rFonts w:hint="eastAsia" w:ascii="仿宋" w:eastAsia="仿宋" w:cs="仿宋" w:hAnsiTheme="minorHAnsi"/>
          <w:kern w:val="2"/>
          <w:sz w:val="32"/>
          <w:szCs w:val="32"/>
          <w:lang w:val="en-US" w:eastAsia="zh-CN" w:bidi="ar-SA"/>
        </w:rPr>
        <w:t>，改善了</w:t>
      </w:r>
      <w:r>
        <w:rPr>
          <w:rFonts w:hint="eastAsia" w:ascii="仿宋" w:eastAsia="仿宋" w:cs="仿宋"/>
          <w:kern w:val="2"/>
          <w:sz w:val="32"/>
          <w:szCs w:val="32"/>
          <w:lang w:val="en-US" w:eastAsia="zh-CN" w:bidi="ar-SA"/>
        </w:rPr>
        <w:t>当地牧民</w:t>
      </w:r>
      <w:r>
        <w:rPr>
          <w:rFonts w:hint="eastAsia" w:ascii="仿宋" w:eastAsia="仿宋" w:cs="仿宋" w:hAnsiTheme="minorHAnsi"/>
          <w:kern w:val="2"/>
          <w:sz w:val="32"/>
          <w:szCs w:val="32"/>
          <w:lang w:val="en-US" w:eastAsia="zh-CN" w:bidi="ar-SA"/>
        </w:rPr>
        <w:t>生活条件，提升了项目区整体形象，促进了当地经济的增长，是顺应民意，体现以人为本，落实科学发展观，构建和谐社会，确保项目区社会经济可持续发展的重要举措。</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第一，有助于促进当地</w:t>
      </w:r>
      <w:r>
        <w:rPr>
          <w:rFonts w:hint="eastAsia" w:ascii="仿宋" w:hAnsi="仿宋" w:eastAsia="仿宋" w:cs="仿宋"/>
          <w:color w:val="auto"/>
          <w:sz w:val="32"/>
          <w:szCs w:val="32"/>
          <w:lang w:val="en-US" w:eastAsia="zh-CN"/>
        </w:rPr>
        <w:t>养殖业</w:t>
      </w:r>
      <w:r>
        <w:rPr>
          <w:rFonts w:hint="eastAsia" w:ascii="仿宋" w:hAnsi="仿宋" w:eastAsia="仿宋" w:cs="仿宋"/>
          <w:color w:val="auto"/>
          <w:sz w:val="32"/>
          <w:szCs w:val="32"/>
        </w:rPr>
        <w:t>发展。加快</w:t>
      </w:r>
      <w:r>
        <w:rPr>
          <w:rFonts w:hint="eastAsia" w:ascii="仿宋" w:hAnsi="仿宋" w:eastAsia="仿宋" w:cs="仿宋"/>
          <w:color w:val="auto"/>
          <w:sz w:val="32"/>
          <w:szCs w:val="32"/>
          <w:lang w:val="en-US" w:eastAsia="zh-CN"/>
        </w:rPr>
        <w:t>养殖业</w:t>
      </w:r>
      <w:r>
        <w:rPr>
          <w:rFonts w:hint="eastAsia" w:ascii="仿宋" w:hAnsi="仿宋" w:eastAsia="仿宋" w:cs="仿宋"/>
          <w:color w:val="auto"/>
          <w:sz w:val="32"/>
          <w:szCs w:val="32"/>
        </w:rPr>
        <w:t>基础设施建设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有助于</w:t>
      </w:r>
      <w:r>
        <w:rPr>
          <w:rFonts w:hint="eastAsia" w:ascii="仿宋" w:hAnsi="仿宋" w:eastAsia="仿宋" w:cs="仿宋"/>
          <w:color w:val="auto"/>
          <w:sz w:val="32"/>
          <w:szCs w:val="32"/>
          <w:lang w:val="en-US" w:eastAsia="zh-CN"/>
        </w:rPr>
        <w:t>畜牧业</w:t>
      </w:r>
      <w:r>
        <w:rPr>
          <w:rFonts w:hint="eastAsia" w:ascii="仿宋" w:hAnsi="仿宋" w:eastAsia="仿宋" w:cs="仿宋"/>
          <w:color w:val="auto"/>
          <w:sz w:val="32"/>
          <w:szCs w:val="32"/>
        </w:rPr>
        <w:t>向前发展，对</w:t>
      </w:r>
      <w:r>
        <w:rPr>
          <w:rFonts w:hint="eastAsia" w:ascii="仿宋" w:hAnsi="仿宋" w:eastAsia="仿宋" w:cs="仿宋"/>
          <w:color w:val="auto"/>
          <w:sz w:val="32"/>
          <w:szCs w:val="32"/>
          <w:lang w:val="en-US" w:eastAsia="zh-CN"/>
        </w:rPr>
        <w:t>当地集体经济</w:t>
      </w:r>
      <w:r>
        <w:rPr>
          <w:rFonts w:hint="eastAsia" w:ascii="仿宋" w:hAnsi="仿宋" w:eastAsia="仿宋" w:cs="仿宋"/>
          <w:color w:val="auto"/>
          <w:sz w:val="32"/>
          <w:szCs w:val="32"/>
        </w:rPr>
        <w:t>发展具有显著推动效应。</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第二，有助于促进</w:t>
      </w:r>
      <w:r>
        <w:rPr>
          <w:rFonts w:hint="eastAsia" w:ascii="仿宋" w:hAnsi="仿宋" w:eastAsia="仿宋" w:cs="仿宋"/>
          <w:color w:val="auto"/>
          <w:sz w:val="32"/>
          <w:szCs w:val="32"/>
          <w:lang w:val="en-US" w:eastAsia="zh-CN"/>
        </w:rPr>
        <w:t>牧民</w:t>
      </w:r>
      <w:r>
        <w:rPr>
          <w:rFonts w:hint="eastAsia" w:ascii="仿宋" w:hAnsi="仿宋" w:eastAsia="仿宋" w:cs="仿宋"/>
          <w:color w:val="auto"/>
          <w:sz w:val="32"/>
          <w:szCs w:val="32"/>
        </w:rPr>
        <w:t>增收。在我国三农问题之中，农民增收问题是重中之重问题，通过加快农村基础设施建设可以为农民增收创造良好条件。除此之外，由于当前我国人均耕地较少，土地给农民所带来的收益非常有限，这也是影响农民增收的一个重要原因。通过加强基础设施建设有助于不断提升农民增收能力，使农民的增收渠道逐步增加。</w:t>
      </w:r>
    </w:p>
    <w:p>
      <w:pPr>
        <w:spacing w:line="560" w:lineRule="exact"/>
        <w:ind w:firstLine="640" w:firstLineChars="200"/>
        <w:rPr>
          <w:rFonts w:hint="eastAsia"/>
          <w:sz w:val="32"/>
          <w:szCs w:val="32"/>
        </w:rPr>
      </w:pPr>
      <w:r>
        <w:rPr>
          <w:rFonts w:hint="eastAsia" w:ascii="仿宋" w:hAnsi="仿宋" w:eastAsia="仿宋" w:cs="仿宋"/>
          <w:color w:val="auto"/>
          <w:sz w:val="32"/>
          <w:szCs w:val="32"/>
        </w:rPr>
        <w:t>第三，有助于促进</w:t>
      </w:r>
      <w:r>
        <w:rPr>
          <w:rFonts w:hint="eastAsia" w:ascii="仿宋" w:hAnsi="仿宋" w:eastAsia="仿宋" w:cs="仿宋"/>
          <w:color w:val="auto"/>
          <w:sz w:val="32"/>
          <w:szCs w:val="32"/>
          <w:lang w:val="en-US" w:eastAsia="zh-CN"/>
        </w:rPr>
        <w:t>畜牧业</w:t>
      </w:r>
      <w:r>
        <w:rPr>
          <w:rFonts w:hint="eastAsia" w:ascii="仿宋" w:hAnsi="仿宋" w:eastAsia="仿宋" w:cs="仿宋"/>
          <w:color w:val="auto"/>
          <w:sz w:val="32"/>
          <w:szCs w:val="32"/>
        </w:rPr>
        <w:t>现代化。任何一项经济要实现增长都离不开协调发展，当城镇化在达到一定程度之后必然会反哺农村，良好的农村基础设施建设也体现了当前我国文明向农村不断拓展</w:t>
      </w:r>
      <w:r>
        <w:rPr>
          <w:rFonts w:hint="eastAsia" w:ascii="仿宋" w:hAnsi="仿宋" w:eastAsia="仿宋" w:cs="仿宋"/>
          <w:color w:val="auto"/>
          <w:sz w:val="32"/>
          <w:szCs w:val="32"/>
          <w:lang w:eastAsia="zh-CN"/>
        </w:rPr>
        <w:t>，</w:t>
      </w:r>
      <w:bookmarkStart w:id="255" w:name="_GoBack"/>
      <w:bookmarkEnd w:id="255"/>
      <w:r>
        <w:rPr>
          <w:rFonts w:hint="eastAsia" w:ascii="仿宋" w:hAnsi="仿宋" w:eastAsia="仿宋" w:cs="仿宋"/>
          <w:color w:val="auto"/>
          <w:sz w:val="32"/>
          <w:szCs w:val="32"/>
        </w:rPr>
        <w:t>项目设计使用年限</w:t>
      </w:r>
      <w:r>
        <w:rPr>
          <w:rFonts w:hint="eastAsia" w:ascii="仿宋" w:hAnsi="仿宋" w:eastAsia="仿宋" w:cs="仿宋"/>
          <w:color w:val="auto"/>
          <w:sz w:val="32"/>
          <w:szCs w:val="32"/>
          <w:lang w:val="en-US" w:eastAsia="zh-CN"/>
        </w:rPr>
        <w:t>15年，</w:t>
      </w:r>
      <w:r>
        <w:rPr>
          <w:rFonts w:hint="eastAsia" w:ascii="仿宋" w:hAnsi="仿宋" w:eastAsia="仿宋" w:cs="仿宋"/>
          <w:color w:val="auto"/>
          <w:sz w:val="32"/>
          <w:szCs w:val="32"/>
        </w:rPr>
        <w:t>通过良好农村基础设施建设有助于进一步加快农村现代化，有助于缩小城乡差距，有助于使广大农民更好的分享发展经济成果。</w:t>
      </w:r>
      <w:bookmarkStart w:id="96" w:name="_Toc26017_WPSOffice_Level2"/>
      <w:bookmarkStart w:id="97" w:name="_Toc19893_WPSOffice_Level2"/>
    </w:p>
    <w:bookmarkEnd w:id="96"/>
    <w:bookmarkEnd w:id="97"/>
    <w:p>
      <w:pPr>
        <w:pStyle w:val="25"/>
        <w:spacing w:line="500" w:lineRule="exact"/>
        <w:ind w:firstLine="0" w:firstLineChars="0"/>
        <w:outlineLvl w:val="0"/>
        <w:rPr>
          <w:rFonts w:hint="eastAsia" w:ascii="黑体" w:hAnsi="黑体" w:eastAsia="黑体" w:cs="黑体"/>
          <w:b w:val="0"/>
          <w:bCs w:val="0"/>
          <w:sz w:val="32"/>
          <w:szCs w:val="32"/>
          <w:lang w:val="en-US" w:eastAsia="zh-CN"/>
        </w:rPr>
      </w:pPr>
      <w:bookmarkStart w:id="98" w:name="_Toc23393"/>
      <w:bookmarkStart w:id="99" w:name="_Toc2621"/>
      <w:bookmarkStart w:id="100" w:name="_Toc21091"/>
      <w:r>
        <w:rPr>
          <w:rFonts w:hint="eastAsia" w:ascii="黑体" w:hAnsi="黑体" w:eastAsia="黑体" w:cs="黑体"/>
          <w:b w:val="0"/>
          <w:bCs w:val="0"/>
          <w:sz w:val="32"/>
          <w:szCs w:val="32"/>
          <w:lang w:val="en-US" w:eastAsia="zh-CN"/>
        </w:rPr>
        <w:t>8.风险分析</w:t>
      </w:r>
      <w:bookmarkEnd w:id="98"/>
      <w:bookmarkEnd w:id="99"/>
      <w:bookmarkEnd w:id="100"/>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01" w:name="_Toc15240"/>
      <w:bookmarkStart w:id="102" w:name="_Toc20426"/>
      <w:bookmarkStart w:id="103" w:name="_Toc7155"/>
      <w:bookmarkStart w:id="104" w:name="_Toc15301"/>
      <w:bookmarkStart w:id="105" w:name="_Toc26072"/>
      <w:r>
        <w:rPr>
          <w:rFonts w:hint="eastAsia" w:ascii="楷体_GB2312" w:hAnsi="楷体_GB2312" w:eastAsia="楷体_GB2312" w:cs="楷体_GB2312"/>
          <w:sz w:val="32"/>
          <w:szCs w:val="32"/>
          <w:lang w:val="en-US" w:eastAsia="zh-CN"/>
        </w:rPr>
        <w:t>8.1影响项目风险因素</w:t>
      </w:r>
      <w:bookmarkEnd w:id="101"/>
      <w:bookmarkEnd w:id="102"/>
      <w:bookmarkEnd w:id="103"/>
      <w:bookmarkEnd w:id="104"/>
      <w:bookmarkEnd w:id="105"/>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1.业主方自身管理风险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在项目实施阶段，从业主方考虑，要注意防范人为风险、经济风险、自然风险这三大自身风险：</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人为风险表现为不懂得基建程序，不遵循客观规律，导致决策偏差，行为不规范，对监理认识上的缺陷带来诸多问题等；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项目经济风险表现为工程资金不到位，资金使用效率较低，经济环境、通货膨胀导致物价变动等；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自然风险表现为工程所在地客观存在意外情况。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2.项目建设参与单位诚信风险分析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在项目建设过程中，政府以及委托的项目管理公司要与设计单位、监理单位、总承包商、材料设备供应商等多个单位进行合作，合作过程中面临参建单位诚信风险，表现为：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（1）项目设计单位在设计中指定所需材料，设备，变相增加投资成本；设计单位设计中不优化设计，设计过于保守，导致增加投资成本；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（2）监理单位对项目监督不力，管理不善，控制不严；监理单位与承包商、材料供应商进行相互串通，蒙骗业主；监理单位聘用的临时人员业务水平差，工作缺乏主动性等；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（3）总承包商是挂靠资质，名不副实；对项目往往进行层层分包或者转包，资金稍有拖欠，就停工；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（4）材料设备供货商货物以假乱真，以次充好；对设备关键部位进行更换，降低造价，失去诚信。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3.商务合同风险分析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合同是业主与各参建单位签订的双方权利与义务关系的协议，是为顺利完成一个项目的有效保障，但是，其操作过程存在着各种各样的风险：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一是在对特殊工程进行指令分包时，指令分包单位只跟业主方签订合同，没有和总承包商签订合同，导致项目在施工过程中容易产生扯皮推诿风险；二是合同主体资格前后不一致，招标时以总公司名义投标，而签订合同时是其下属公司签订；三是合同中对结算方式、增减项的执行单价约定不明显。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4.项目资金、质量和进度风险分析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项目在实施阶段，要预防资金、质量、进度三大风险，其中：资金风险表现为政府划拨资金不到位，资金被业主方截留或者挪用，承包商把资金挪为它用等；质量风险表现为施工工艺不合格导致工程质量问题，施工方偷工减料，材料不合格导致质量问题等；进度风险表现施工方没有按时完成预期进度，项目不能按时投入使用等。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5.安全风险分析 </w:t>
      </w:r>
    </w:p>
    <w:p>
      <w:pPr>
        <w:spacing w:line="60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rPr>
        <w:t>项目实施阶段，高处作业、地质条件、环境因素、设备条件以及成品材料条件等五大因素都有可能造成安全事故，这是施工生产的固有安全因素，其中最重要的一个安全因素就是“人”，安全意识淡薄。</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106" w:name="_Toc1018"/>
      <w:bookmarkStart w:id="107" w:name="_Toc31009"/>
      <w:bookmarkStart w:id="108" w:name="_Toc16185"/>
      <w:bookmarkStart w:id="109" w:name="_Toc14432"/>
      <w:bookmarkStart w:id="110" w:name="_Toc30556"/>
      <w:r>
        <w:rPr>
          <w:rFonts w:hint="eastAsia" w:ascii="楷体_GB2312" w:hAnsi="楷体_GB2312" w:eastAsia="楷体_GB2312" w:cs="楷体_GB2312"/>
          <w:sz w:val="32"/>
          <w:szCs w:val="32"/>
          <w:lang w:val="en-US" w:eastAsia="zh-CN"/>
        </w:rPr>
        <w:t>8.2风险防控措施</w:t>
      </w:r>
      <w:bookmarkEnd w:id="106"/>
      <w:bookmarkEnd w:id="107"/>
      <w:bookmarkEnd w:id="108"/>
      <w:bookmarkEnd w:id="109"/>
      <w:bookmarkEnd w:id="110"/>
    </w:p>
    <w:p>
      <w:pPr>
        <w:spacing w:line="600" w:lineRule="exact"/>
        <w:ind w:firstLine="640" w:firstLineChars="200"/>
        <w:outlineLvl w:val="9"/>
        <w:rPr>
          <w:rFonts w:hint="eastAsia" w:ascii="仿宋" w:hAnsi="仿宋" w:eastAsia="仿宋" w:cs="仿宋"/>
          <w:color w:val="auto"/>
          <w:sz w:val="32"/>
          <w:szCs w:val="32"/>
        </w:rPr>
      </w:pPr>
      <w:bookmarkStart w:id="111" w:name="_Toc70682573"/>
      <w:bookmarkStart w:id="112" w:name="_Toc30619"/>
      <w:bookmarkStart w:id="113" w:name="_Toc74258612"/>
      <w:bookmarkStart w:id="114" w:name="_Toc79051145"/>
      <w:bookmarkStart w:id="115" w:name="_Toc9204"/>
      <w:r>
        <w:rPr>
          <w:rFonts w:hint="eastAsia" w:ascii="仿宋" w:hAnsi="仿宋" w:eastAsia="仿宋" w:cs="仿宋"/>
          <w:color w:val="auto"/>
          <w:sz w:val="32"/>
          <w:szCs w:val="32"/>
        </w:rPr>
        <w:t>1.业主方自身管理风险防范对策</w:t>
      </w:r>
      <w:bookmarkEnd w:id="111"/>
      <w:bookmarkEnd w:id="112"/>
      <w:bookmarkEnd w:id="113"/>
      <w:bookmarkEnd w:id="114"/>
      <w:bookmarkEnd w:id="115"/>
    </w:p>
    <w:p>
      <w:pPr>
        <w:spacing w:line="600" w:lineRule="exact"/>
        <w:ind w:firstLine="640" w:firstLineChars="200"/>
        <w:outlineLvl w:val="9"/>
        <w:rPr>
          <w:rFonts w:hint="eastAsia" w:ascii="仿宋" w:hAnsi="仿宋" w:eastAsia="仿宋" w:cs="仿宋"/>
          <w:color w:val="auto"/>
          <w:sz w:val="32"/>
          <w:szCs w:val="32"/>
        </w:rPr>
      </w:pPr>
      <w:bookmarkStart w:id="116" w:name="_Toc70682574"/>
      <w:bookmarkStart w:id="117" w:name="_Toc31122"/>
      <w:bookmarkStart w:id="118" w:name="_Toc29173"/>
      <w:bookmarkStart w:id="119" w:name="_Toc74258613"/>
      <w:bookmarkStart w:id="120" w:name="_Toc79051146"/>
      <w:r>
        <w:rPr>
          <w:rFonts w:hint="eastAsia" w:ascii="仿宋" w:hAnsi="仿宋" w:eastAsia="仿宋" w:cs="仿宋"/>
          <w:color w:val="auto"/>
          <w:sz w:val="32"/>
          <w:szCs w:val="32"/>
        </w:rPr>
        <w:t>业主方自身的风险是滋生其他风险的基础，只有比较客观的认识自身的风险，才能防范其他风险的产生，防范自身风险对策，建议如下：</w:t>
      </w:r>
      <w:bookmarkEnd w:id="116"/>
      <w:bookmarkEnd w:id="117"/>
      <w:bookmarkEnd w:id="118"/>
      <w:bookmarkEnd w:id="119"/>
      <w:bookmarkEnd w:id="12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21" w:name="_Toc10758"/>
      <w:bookmarkStart w:id="122" w:name="_Toc74258614"/>
      <w:bookmarkStart w:id="123" w:name="_Toc5429"/>
      <w:bookmarkStart w:id="124" w:name="_Toc79051147"/>
      <w:bookmarkStart w:id="125" w:name="_Toc70682575"/>
      <w:r>
        <w:rPr>
          <w:rFonts w:hint="eastAsia" w:ascii="仿宋" w:hAnsi="仿宋" w:eastAsia="仿宋" w:cs="仿宋"/>
          <w:color w:val="auto"/>
          <w:sz w:val="32"/>
          <w:szCs w:val="32"/>
        </w:rPr>
        <w:t>（1）对工程进行严格管理，如实行责任落实到具体个人制度，成立项目专家小组，进行每次大的决策，必须先由专家小组论证；</w:t>
      </w:r>
      <w:bookmarkEnd w:id="121"/>
      <w:bookmarkEnd w:id="122"/>
      <w:bookmarkEnd w:id="123"/>
      <w:bookmarkEnd w:id="124"/>
      <w:bookmarkEnd w:id="12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26" w:name="_Toc20210"/>
      <w:bookmarkStart w:id="127" w:name="_Toc1343"/>
      <w:bookmarkStart w:id="128" w:name="_Toc74258615"/>
      <w:bookmarkStart w:id="129" w:name="_Toc70682576"/>
      <w:bookmarkStart w:id="130" w:name="_Toc79051148"/>
      <w:r>
        <w:rPr>
          <w:rFonts w:hint="eastAsia" w:ascii="仿宋" w:hAnsi="仿宋" w:eastAsia="仿宋" w:cs="仿宋"/>
          <w:color w:val="auto"/>
          <w:sz w:val="32"/>
          <w:szCs w:val="32"/>
        </w:rPr>
        <w:t>（2）项目实施过程中，业主方委托社会监理单位及政府代表全过程进行监督，规范其建设行为；</w:t>
      </w:r>
      <w:bookmarkEnd w:id="126"/>
      <w:bookmarkEnd w:id="127"/>
      <w:bookmarkEnd w:id="128"/>
      <w:bookmarkEnd w:id="129"/>
      <w:bookmarkEnd w:id="13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31" w:name="_Toc70682577"/>
      <w:bookmarkStart w:id="132" w:name="_Toc7873"/>
      <w:bookmarkStart w:id="133" w:name="_Toc13744"/>
      <w:bookmarkStart w:id="134" w:name="_Toc74258616"/>
      <w:bookmarkStart w:id="135" w:name="_Toc79051149"/>
      <w:r>
        <w:rPr>
          <w:rFonts w:hint="eastAsia" w:ascii="仿宋" w:hAnsi="仿宋" w:eastAsia="仿宋" w:cs="仿宋"/>
          <w:color w:val="auto"/>
          <w:sz w:val="32"/>
          <w:szCs w:val="32"/>
        </w:rPr>
        <w:t>（3）防止在项目实施过程中资金超出预算，在项目建设前期进行科学分析，对影响造价较大的因素重点分析；</w:t>
      </w:r>
      <w:bookmarkEnd w:id="131"/>
      <w:bookmarkEnd w:id="132"/>
      <w:bookmarkEnd w:id="133"/>
      <w:bookmarkEnd w:id="134"/>
      <w:bookmarkEnd w:id="13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36" w:name="_Toc14559"/>
      <w:bookmarkStart w:id="137" w:name="_Toc74258617"/>
      <w:bookmarkStart w:id="138" w:name="_Toc3917"/>
      <w:bookmarkStart w:id="139" w:name="_Toc79051150"/>
      <w:bookmarkStart w:id="140" w:name="_Toc70682578"/>
      <w:r>
        <w:rPr>
          <w:rFonts w:hint="eastAsia" w:ascii="仿宋" w:hAnsi="仿宋" w:eastAsia="仿宋" w:cs="仿宋"/>
          <w:color w:val="auto"/>
          <w:sz w:val="32"/>
          <w:szCs w:val="32"/>
        </w:rPr>
        <w:t>（4）避免自然风险的影响，结合工程所在地实际情况加强对关键点的控制。</w:t>
      </w:r>
      <w:bookmarkEnd w:id="136"/>
      <w:bookmarkEnd w:id="137"/>
      <w:bookmarkEnd w:id="138"/>
      <w:bookmarkEnd w:id="139"/>
      <w:bookmarkEnd w:id="14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41" w:name="_Toc2741"/>
      <w:bookmarkStart w:id="142" w:name="_Toc79051151"/>
      <w:bookmarkStart w:id="143" w:name="_Toc28480"/>
      <w:bookmarkStart w:id="144" w:name="_Toc70682579"/>
      <w:bookmarkStart w:id="145" w:name="_Toc74258618"/>
      <w:r>
        <w:rPr>
          <w:rFonts w:hint="eastAsia" w:ascii="仿宋" w:hAnsi="仿宋" w:eastAsia="仿宋" w:cs="仿宋"/>
          <w:color w:val="auto"/>
          <w:sz w:val="32"/>
          <w:szCs w:val="32"/>
        </w:rPr>
        <w:t>2.诚信因素防范对策</w:t>
      </w:r>
      <w:bookmarkEnd w:id="141"/>
      <w:bookmarkEnd w:id="142"/>
      <w:bookmarkEnd w:id="143"/>
      <w:bookmarkEnd w:id="144"/>
      <w:bookmarkEnd w:id="14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46" w:name="_Toc21505"/>
      <w:bookmarkStart w:id="147" w:name="_Toc74258619"/>
      <w:bookmarkStart w:id="148" w:name="_Toc70682580"/>
      <w:bookmarkStart w:id="149" w:name="_Toc10885"/>
      <w:bookmarkStart w:id="150" w:name="_Toc79051152"/>
      <w:r>
        <w:rPr>
          <w:rFonts w:hint="eastAsia" w:ascii="仿宋" w:hAnsi="仿宋" w:eastAsia="仿宋" w:cs="仿宋"/>
          <w:color w:val="auto"/>
          <w:sz w:val="32"/>
          <w:szCs w:val="32"/>
        </w:rPr>
        <w:t>面对的不同参建单位，应采取不同的措施对有可能出现诚信问题的关键点进行防范：</w:t>
      </w:r>
      <w:bookmarkEnd w:id="146"/>
      <w:bookmarkEnd w:id="147"/>
      <w:bookmarkEnd w:id="148"/>
      <w:bookmarkEnd w:id="149"/>
      <w:bookmarkEnd w:id="15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51" w:name="_Toc74258620"/>
      <w:bookmarkStart w:id="152" w:name="_Toc30461"/>
      <w:bookmarkStart w:id="153" w:name="_Toc70682581"/>
      <w:bookmarkStart w:id="154" w:name="_Toc26983"/>
      <w:bookmarkStart w:id="155" w:name="_Toc79051153"/>
      <w:r>
        <w:rPr>
          <w:rFonts w:hint="eastAsia" w:ascii="仿宋" w:hAnsi="仿宋" w:eastAsia="仿宋" w:cs="仿宋"/>
          <w:color w:val="auto"/>
          <w:sz w:val="32"/>
          <w:szCs w:val="32"/>
        </w:rPr>
        <w:t>（1）面对设计单位，先进行建设方案的策划，提出可行的设计条件，作为合同的附属条件；项目施工图完成后，交图审中心进行全面审核，提升设计质量；施工招标之前，由业主、监理及相关使用单位先进行一次图纸会审，会审结果形成书面文件；施工单位进场后，参建单位再进行一次图纸会审；</w:t>
      </w:r>
      <w:bookmarkEnd w:id="151"/>
      <w:bookmarkEnd w:id="152"/>
      <w:bookmarkEnd w:id="153"/>
      <w:bookmarkEnd w:id="154"/>
      <w:bookmarkEnd w:id="15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56" w:name="_Toc74258621"/>
      <w:bookmarkStart w:id="157" w:name="_Toc70682582"/>
      <w:bookmarkStart w:id="158" w:name="_Toc5246"/>
      <w:bookmarkStart w:id="159" w:name="_Toc79051154"/>
      <w:bookmarkStart w:id="160" w:name="_Toc8060"/>
      <w:r>
        <w:rPr>
          <w:rFonts w:hint="eastAsia" w:ascii="仿宋" w:hAnsi="仿宋" w:eastAsia="仿宋" w:cs="仿宋"/>
          <w:color w:val="auto"/>
          <w:sz w:val="32"/>
          <w:szCs w:val="32"/>
        </w:rPr>
        <w:t>（2）选择监理公司时，对该公司的管理水平与公司业绩作为重点考察；选监理工程师，对其人品及个人业绩作为重点考察，并注重该人的沟通、协调能力；与同一地区的监理单位及时进行技术交流，找出差距，提升管理水平；</w:t>
      </w:r>
      <w:bookmarkEnd w:id="156"/>
      <w:bookmarkEnd w:id="157"/>
      <w:bookmarkEnd w:id="158"/>
      <w:bookmarkEnd w:id="159"/>
      <w:bookmarkEnd w:id="16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61" w:name="_Toc74258622"/>
      <w:bookmarkStart w:id="162" w:name="_Toc70682583"/>
      <w:bookmarkStart w:id="163" w:name="_Toc21489"/>
      <w:bookmarkStart w:id="164" w:name="_Toc79051155"/>
      <w:bookmarkStart w:id="165" w:name="_Toc8732"/>
      <w:r>
        <w:rPr>
          <w:rFonts w:hint="eastAsia" w:ascii="仿宋" w:hAnsi="仿宋" w:eastAsia="仿宋" w:cs="仿宋"/>
          <w:color w:val="auto"/>
          <w:sz w:val="32"/>
          <w:szCs w:val="32"/>
        </w:rPr>
        <w:t>（3）在思想上要重视项目，加强招标之前的资格预审，注重单位实体与业绩考察；业主方在预付款拨付时，要求承包商提供银行履约保函，防止转包或失信；</w:t>
      </w:r>
      <w:bookmarkEnd w:id="161"/>
      <w:bookmarkEnd w:id="162"/>
      <w:bookmarkEnd w:id="163"/>
      <w:bookmarkEnd w:id="164"/>
      <w:bookmarkEnd w:id="16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66" w:name="_Toc11169"/>
      <w:bookmarkStart w:id="167" w:name="_Toc21656"/>
      <w:bookmarkStart w:id="168" w:name="_Toc74258623"/>
      <w:bookmarkStart w:id="169" w:name="_Toc79051156"/>
      <w:bookmarkStart w:id="170" w:name="_Toc70682584"/>
      <w:r>
        <w:rPr>
          <w:rFonts w:hint="eastAsia" w:ascii="仿宋" w:hAnsi="仿宋" w:eastAsia="仿宋" w:cs="仿宋"/>
          <w:color w:val="auto"/>
          <w:sz w:val="32"/>
          <w:szCs w:val="32"/>
        </w:rPr>
        <w:t>（4）面对材料设备供应商，注重考察关键设备在工厂的监制，供货商参与设备就位及调试，并与设备款支付挂钩。</w:t>
      </w:r>
      <w:bookmarkEnd w:id="166"/>
      <w:bookmarkEnd w:id="167"/>
      <w:bookmarkEnd w:id="168"/>
      <w:bookmarkEnd w:id="169"/>
      <w:bookmarkEnd w:id="17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71" w:name="_Toc79051157"/>
      <w:bookmarkStart w:id="172" w:name="_Toc16895"/>
      <w:bookmarkStart w:id="173" w:name="_Toc70682585"/>
      <w:bookmarkStart w:id="174" w:name="_Toc74258624"/>
      <w:bookmarkStart w:id="175" w:name="_Toc6635"/>
      <w:r>
        <w:rPr>
          <w:rFonts w:hint="eastAsia" w:ascii="仿宋" w:hAnsi="仿宋" w:eastAsia="仿宋" w:cs="仿宋"/>
          <w:color w:val="auto"/>
          <w:sz w:val="32"/>
          <w:szCs w:val="32"/>
        </w:rPr>
        <w:t>3.商务合同风险防范对策</w:t>
      </w:r>
      <w:bookmarkEnd w:id="171"/>
      <w:bookmarkEnd w:id="172"/>
      <w:bookmarkEnd w:id="173"/>
      <w:bookmarkEnd w:id="174"/>
      <w:bookmarkEnd w:id="17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76" w:name="_Toc70682586"/>
      <w:bookmarkStart w:id="177" w:name="_Toc74258625"/>
      <w:bookmarkStart w:id="178" w:name="_Toc3943"/>
      <w:bookmarkStart w:id="179" w:name="_Toc2222"/>
      <w:bookmarkStart w:id="180" w:name="_Toc79051158"/>
      <w:r>
        <w:rPr>
          <w:rFonts w:hint="eastAsia" w:ascii="仿宋" w:hAnsi="仿宋" w:eastAsia="仿宋" w:cs="仿宋"/>
          <w:color w:val="auto"/>
          <w:sz w:val="32"/>
          <w:szCs w:val="32"/>
        </w:rPr>
        <w:t>业主方在起草合同条款时，应精心起草，从源头上开始研究可能发生的风险，避免风险产生。</w:t>
      </w:r>
      <w:bookmarkEnd w:id="176"/>
      <w:bookmarkEnd w:id="177"/>
      <w:bookmarkEnd w:id="178"/>
      <w:bookmarkEnd w:id="179"/>
      <w:bookmarkEnd w:id="18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81" w:name="_Toc79051159"/>
      <w:bookmarkStart w:id="182" w:name="_Toc14788"/>
      <w:bookmarkStart w:id="183" w:name="_Toc628"/>
      <w:bookmarkStart w:id="184" w:name="_Toc70682587"/>
      <w:bookmarkStart w:id="185" w:name="_Toc74258626"/>
      <w:r>
        <w:rPr>
          <w:rFonts w:hint="eastAsia" w:ascii="仿宋" w:hAnsi="仿宋" w:eastAsia="仿宋" w:cs="仿宋"/>
          <w:color w:val="auto"/>
          <w:sz w:val="32"/>
          <w:szCs w:val="32"/>
        </w:rPr>
        <w:t>（1）对于编制好招标文件，施工招标前，可先确定监理单位，然后业主方、监理方及设计方一起研究招标文件的细节；</w:t>
      </w:r>
      <w:bookmarkEnd w:id="181"/>
      <w:bookmarkEnd w:id="182"/>
      <w:bookmarkEnd w:id="183"/>
      <w:bookmarkEnd w:id="184"/>
      <w:bookmarkEnd w:id="18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86" w:name="_Toc79051160"/>
      <w:bookmarkStart w:id="187" w:name="_Toc18590"/>
      <w:bookmarkStart w:id="188" w:name="_Toc74258627"/>
      <w:bookmarkStart w:id="189" w:name="_Toc10785"/>
      <w:bookmarkStart w:id="190" w:name="_Toc70682588"/>
      <w:r>
        <w:rPr>
          <w:rFonts w:hint="eastAsia" w:ascii="仿宋" w:hAnsi="仿宋" w:eastAsia="仿宋" w:cs="仿宋"/>
          <w:color w:val="auto"/>
          <w:sz w:val="32"/>
          <w:szCs w:val="32"/>
        </w:rPr>
        <w:t>（2）规范付款程序，项目每一笔预付款先由承包方提出申请，附上完成的工程量报表，经监理审核，业主方代表把关，然后由业主方项目负责人审批；</w:t>
      </w:r>
      <w:bookmarkEnd w:id="186"/>
      <w:bookmarkEnd w:id="187"/>
      <w:bookmarkEnd w:id="188"/>
      <w:bookmarkEnd w:id="189"/>
      <w:bookmarkEnd w:id="19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91" w:name="_Toc70682589"/>
      <w:bookmarkStart w:id="192" w:name="_Toc24883"/>
      <w:bookmarkStart w:id="193" w:name="_Toc32394"/>
      <w:bookmarkStart w:id="194" w:name="_Toc79051161"/>
      <w:bookmarkStart w:id="195" w:name="_Toc74258628"/>
      <w:r>
        <w:rPr>
          <w:rFonts w:hint="eastAsia" w:ascii="仿宋" w:hAnsi="仿宋" w:eastAsia="仿宋" w:cs="仿宋"/>
          <w:color w:val="auto"/>
          <w:sz w:val="32"/>
          <w:szCs w:val="32"/>
        </w:rPr>
        <w:t>（3）加强投资动态控制，实现项目预控，随时检查投资变化，随时检查承包方的施工进度和质量情况，并注重监理方的行为变化，提高合同的执行质量。</w:t>
      </w:r>
      <w:bookmarkEnd w:id="191"/>
      <w:bookmarkEnd w:id="192"/>
      <w:bookmarkEnd w:id="193"/>
      <w:bookmarkEnd w:id="194"/>
      <w:bookmarkEnd w:id="19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196" w:name="_Toc74258629"/>
      <w:bookmarkStart w:id="197" w:name="_Toc79051162"/>
      <w:bookmarkStart w:id="198" w:name="_Toc16304"/>
      <w:bookmarkStart w:id="199" w:name="_Toc70682590"/>
      <w:bookmarkStart w:id="200" w:name="_Toc15162"/>
      <w:r>
        <w:rPr>
          <w:rFonts w:hint="eastAsia" w:ascii="仿宋" w:hAnsi="仿宋" w:eastAsia="仿宋" w:cs="仿宋"/>
          <w:color w:val="auto"/>
          <w:sz w:val="32"/>
          <w:szCs w:val="32"/>
        </w:rPr>
        <w:t>4.项目资金、质量和进度风险防范对策</w:t>
      </w:r>
      <w:bookmarkEnd w:id="196"/>
      <w:bookmarkEnd w:id="197"/>
      <w:bookmarkEnd w:id="198"/>
      <w:bookmarkEnd w:id="199"/>
      <w:bookmarkEnd w:id="20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201" w:name="_Toc70682591"/>
      <w:bookmarkStart w:id="202" w:name="_Toc74258630"/>
      <w:bookmarkStart w:id="203" w:name="_Toc79051163"/>
      <w:bookmarkStart w:id="204" w:name="_Toc10304"/>
      <w:bookmarkStart w:id="205" w:name="_Toc7953"/>
      <w:r>
        <w:rPr>
          <w:rFonts w:hint="eastAsia" w:ascii="仿宋" w:hAnsi="仿宋" w:eastAsia="仿宋" w:cs="仿宋"/>
          <w:color w:val="auto"/>
          <w:sz w:val="32"/>
          <w:szCs w:val="32"/>
        </w:rPr>
        <w:t>资金、质量、进度三大风险一脉相承，资金风险是导致质量、进度风险的基础。为了确保项目能顺利实施，防止三大风险产生，可制定相应的对策：</w:t>
      </w:r>
      <w:bookmarkEnd w:id="201"/>
      <w:bookmarkEnd w:id="202"/>
      <w:bookmarkEnd w:id="203"/>
      <w:bookmarkEnd w:id="204"/>
      <w:bookmarkEnd w:id="205"/>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206" w:name="_Toc79051164"/>
      <w:bookmarkStart w:id="207" w:name="_Toc31885"/>
      <w:bookmarkStart w:id="208" w:name="_Toc74258631"/>
      <w:bookmarkStart w:id="209" w:name="_Toc16034"/>
      <w:bookmarkStart w:id="210" w:name="_Toc70682592"/>
      <w:r>
        <w:rPr>
          <w:rFonts w:hint="eastAsia" w:ascii="仿宋" w:hAnsi="仿宋" w:eastAsia="仿宋" w:cs="仿宋"/>
          <w:color w:val="auto"/>
          <w:sz w:val="32"/>
          <w:szCs w:val="32"/>
        </w:rPr>
        <w:t>（1）要抓好资金这一关键点，及时与政府部门沟通，保证工程款按时到位；成立工程款督察小组，对每一笔工程款支出严格审核等；</w:t>
      </w:r>
      <w:bookmarkEnd w:id="206"/>
      <w:bookmarkEnd w:id="207"/>
      <w:bookmarkEnd w:id="208"/>
      <w:bookmarkEnd w:id="209"/>
      <w:bookmarkEnd w:id="210"/>
      <w:r>
        <w:rPr>
          <w:rFonts w:hint="eastAsia" w:ascii="仿宋" w:hAnsi="仿宋" w:eastAsia="仿宋" w:cs="仿宋"/>
          <w:color w:val="auto"/>
          <w:sz w:val="32"/>
          <w:szCs w:val="32"/>
        </w:rPr>
        <w:t xml:space="preserve"> </w:t>
      </w:r>
    </w:p>
    <w:p>
      <w:pPr>
        <w:spacing w:line="600" w:lineRule="exact"/>
        <w:ind w:firstLine="640" w:firstLineChars="200"/>
        <w:outlineLvl w:val="9"/>
        <w:rPr>
          <w:rFonts w:hint="eastAsia" w:ascii="仿宋" w:hAnsi="仿宋" w:eastAsia="仿宋" w:cs="仿宋"/>
          <w:color w:val="auto"/>
          <w:sz w:val="32"/>
          <w:szCs w:val="32"/>
        </w:rPr>
      </w:pPr>
      <w:bookmarkStart w:id="211" w:name="_Toc18299"/>
      <w:bookmarkStart w:id="212" w:name="_Toc79051165"/>
      <w:bookmarkStart w:id="213" w:name="_Toc29762"/>
      <w:bookmarkStart w:id="214" w:name="_Toc74258632"/>
      <w:bookmarkStart w:id="215" w:name="_Toc70682593"/>
      <w:r>
        <w:rPr>
          <w:rFonts w:hint="eastAsia" w:ascii="仿宋" w:hAnsi="仿宋" w:eastAsia="仿宋" w:cs="仿宋"/>
          <w:color w:val="auto"/>
          <w:sz w:val="32"/>
          <w:szCs w:val="32"/>
        </w:rPr>
        <w:t>（2）业主方与各参建单位严格按照合同约定办事，完善项目建设组织与管理，质量监督体系等；对项目分部分项工程验收时，业主方及监理方、工程质量监督站、施工企业质检部门三方同时现场确认等；</w:t>
      </w:r>
      <w:bookmarkEnd w:id="211"/>
      <w:bookmarkEnd w:id="212"/>
      <w:bookmarkEnd w:id="213"/>
      <w:bookmarkEnd w:id="214"/>
      <w:bookmarkEnd w:id="21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16" w:name="_Toc74258633"/>
      <w:bookmarkStart w:id="217" w:name="_Toc28187"/>
      <w:bookmarkStart w:id="218" w:name="_Toc79051166"/>
      <w:bookmarkStart w:id="219" w:name="_Toc70682594"/>
      <w:bookmarkStart w:id="220" w:name="_Toc349"/>
      <w:r>
        <w:rPr>
          <w:rFonts w:hint="eastAsia" w:ascii="仿宋" w:hAnsi="仿宋" w:eastAsia="仿宋" w:cs="仿宋"/>
          <w:color w:val="auto"/>
          <w:sz w:val="32"/>
          <w:szCs w:val="32"/>
        </w:rPr>
        <w:t>（3）业主及监理单位要对施工单位的进度计划进行仔细审核，落实好进度管理部门人员及职责分工；分析影响进度目标实现的干扰和风险因素等；通过经济奖惩方法对进度管理进行约束等。</w:t>
      </w:r>
      <w:bookmarkEnd w:id="216"/>
      <w:bookmarkEnd w:id="217"/>
      <w:bookmarkEnd w:id="218"/>
      <w:bookmarkEnd w:id="219"/>
      <w:bookmarkEnd w:id="220"/>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21" w:name="_Toc74258634"/>
      <w:bookmarkStart w:id="222" w:name="_Toc79051167"/>
      <w:bookmarkStart w:id="223" w:name="_Toc70682595"/>
      <w:bookmarkStart w:id="224" w:name="_Toc27942"/>
      <w:bookmarkStart w:id="225" w:name="_Toc26963"/>
      <w:r>
        <w:rPr>
          <w:rFonts w:hint="eastAsia" w:ascii="仿宋" w:hAnsi="仿宋" w:eastAsia="仿宋" w:cs="仿宋"/>
          <w:color w:val="auto"/>
          <w:sz w:val="32"/>
          <w:szCs w:val="32"/>
        </w:rPr>
        <w:t>5.安全风险防范对策及措施</w:t>
      </w:r>
      <w:bookmarkEnd w:id="221"/>
      <w:bookmarkEnd w:id="222"/>
      <w:bookmarkEnd w:id="223"/>
      <w:bookmarkEnd w:id="224"/>
      <w:bookmarkEnd w:id="2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26" w:name="_Toc74258635"/>
      <w:bookmarkStart w:id="227" w:name="_Toc79051168"/>
      <w:bookmarkStart w:id="228" w:name="_Toc24882"/>
      <w:bookmarkStart w:id="229" w:name="_Toc70682596"/>
      <w:bookmarkStart w:id="230" w:name="_Toc21138"/>
      <w:r>
        <w:rPr>
          <w:rFonts w:hint="eastAsia" w:ascii="仿宋" w:hAnsi="仿宋" w:eastAsia="仿宋" w:cs="仿宋"/>
          <w:color w:val="auto"/>
          <w:sz w:val="32"/>
          <w:szCs w:val="32"/>
        </w:rPr>
        <w:t>（1）加强工人进行安全教育：对新进场的工人进行三级安全教育与进场安全技术教育，并在施工前对班组长进行安全技术交底，组织工人学习安全操作规程，工人每月进行安全教育。</w:t>
      </w:r>
      <w:bookmarkEnd w:id="226"/>
      <w:bookmarkEnd w:id="227"/>
      <w:bookmarkEnd w:id="228"/>
      <w:bookmarkEnd w:id="229"/>
      <w:bookmarkEnd w:id="23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31" w:name="_Toc5060"/>
      <w:bookmarkStart w:id="232" w:name="_Toc74258636"/>
      <w:bookmarkStart w:id="233" w:name="_Toc1684"/>
      <w:bookmarkStart w:id="234" w:name="_Toc79051169"/>
      <w:bookmarkStart w:id="235" w:name="_Toc70682597"/>
      <w:r>
        <w:rPr>
          <w:rFonts w:hint="eastAsia" w:ascii="仿宋" w:hAnsi="仿宋" w:eastAsia="仿宋" w:cs="仿宋"/>
          <w:color w:val="auto"/>
          <w:sz w:val="32"/>
          <w:szCs w:val="32"/>
        </w:rPr>
        <w:t>（2）项目部每周组织班组长开安全例会，对每周的安全隐患进行分析和排出。</w:t>
      </w:r>
      <w:bookmarkEnd w:id="231"/>
      <w:bookmarkEnd w:id="232"/>
      <w:bookmarkEnd w:id="233"/>
      <w:bookmarkEnd w:id="234"/>
      <w:bookmarkEnd w:id="23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bookmarkStart w:id="236" w:name="_Toc28955"/>
      <w:bookmarkStart w:id="237" w:name="_Toc23038"/>
      <w:bookmarkStart w:id="238" w:name="_Toc74258637"/>
      <w:bookmarkStart w:id="239" w:name="_Toc70682598"/>
      <w:bookmarkStart w:id="240" w:name="_Toc79051170"/>
      <w:r>
        <w:rPr>
          <w:rFonts w:hint="eastAsia" w:ascii="仿宋" w:hAnsi="仿宋" w:eastAsia="仿宋" w:cs="仿宋"/>
          <w:color w:val="auto"/>
          <w:sz w:val="32"/>
          <w:szCs w:val="32"/>
        </w:rPr>
        <w:t>（3）定期对施工机械、安全防护用品进行安全检查和保养。</w:t>
      </w:r>
      <w:bookmarkEnd w:id="236"/>
      <w:bookmarkEnd w:id="237"/>
      <w:bookmarkEnd w:id="238"/>
      <w:bookmarkEnd w:id="239"/>
      <w:bookmarkEnd w:id="240"/>
    </w:p>
    <w:p>
      <w:pPr>
        <w:pStyle w:val="25"/>
        <w:spacing w:line="500" w:lineRule="exact"/>
        <w:ind w:firstLine="0" w:firstLineChars="0"/>
        <w:outlineLvl w:val="0"/>
        <w:rPr>
          <w:rFonts w:hint="eastAsia" w:ascii="黑体" w:hAnsi="黑体" w:eastAsia="黑体" w:cs="黑体"/>
          <w:b w:val="0"/>
          <w:bCs w:val="0"/>
          <w:sz w:val="32"/>
          <w:szCs w:val="32"/>
          <w:lang w:val="en-US" w:eastAsia="zh-CN"/>
        </w:rPr>
      </w:pPr>
      <w:bookmarkStart w:id="241" w:name="_Toc28312"/>
      <w:bookmarkStart w:id="242" w:name="_Toc20059"/>
      <w:bookmarkStart w:id="243" w:name="_Toc14191"/>
      <w:r>
        <w:rPr>
          <w:rFonts w:hint="eastAsia" w:ascii="黑体" w:hAnsi="黑体" w:eastAsia="黑体" w:cs="黑体"/>
          <w:b w:val="0"/>
          <w:bCs w:val="0"/>
          <w:sz w:val="32"/>
          <w:szCs w:val="32"/>
          <w:lang w:val="en-US" w:eastAsia="zh-CN"/>
        </w:rPr>
        <w:t>9.结论与建议</w:t>
      </w:r>
      <w:bookmarkEnd w:id="241"/>
      <w:bookmarkEnd w:id="242"/>
      <w:bookmarkEnd w:id="243"/>
      <w:bookmarkStart w:id="244" w:name="_Toc30152"/>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lang w:val="en-US" w:eastAsia="zh-CN"/>
        </w:rPr>
      </w:pPr>
      <w:bookmarkStart w:id="245" w:name="_Toc28072"/>
      <w:bookmarkStart w:id="246" w:name="_Toc27660"/>
      <w:r>
        <w:rPr>
          <w:rFonts w:hint="eastAsia" w:ascii="楷体_GB2312" w:hAnsi="楷体_GB2312" w:eastAsia="楷体_GB2312" w:cs="楷体_GB2312"/>
          <w:sz w:val="32"/>
          <w:szCs w:val="32"/>
          <w:lang w:val="en-US" w:eastAsia="zh-CN"/>
        </w:rPr>
        <w:t>9.1结论</w:t>
      </w:r>
      <w:bookmarkEnd w:id="244"/>
      <w:bookmarkEnd w:id="245"/>
      <w:bookmarkEnd w:id="24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项目建设符合中共中央、国务院《关于全面推进乡村振兴加快农业农村现代化的意见》、二十大关于“实施乡村振兴战略”等政策方向，也符合塔城市二工镇社会经济发展整体规划，其建设对于改善项目区社会环境、当地人居环境，满足当地生产、生活需要具有重要意义，有利于和谐社会的构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项目从项目背景、建设必要性、投资规模、建设内容、建设条件等方面进行了分析研究。项目建设导向正确，技术方案适中，投资规模适度，各项指标已达到建设所要求的基本条件，同时充分考虑了人口布局及数量、地理交通等因素，结合了塔城市经济发展水平的要求，并适当考虑了未来发展的需要，较为科学合理。项目总体方案可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本项目环保、消防、节能等方面均已采取积极有效的措施。可保证项目正常实施和安全使用。</w:t>
      </w:r>
    </w:p>
    <w:p>
      <w:pPr>
        <w:pStyle w:val="2"/>
        <w:keepNext w:val="0"/>
        <w:keepLines/>
        <w:pageBreakBefore w:val="0"/>
        <w:widowControl w:val="0"/>
        <w:numPr>
          <w:ilvl w:val="1"/>
          <w:numId w:val="0"/>
        </w:numPr>
        <w:kinsoku/>
        <w:wordWrap/>
        <w:overflowPunct/>
        <w:topLinePunct w:val="0"/>
        <w:autoSpaceDE/>
        <w:autoSpaceDN/>
        <w:bidi w:val="0"/>
        <w:adjustRightInd w:val="0"/>
        <w:snapToGrid w:val="0"/>
        <w:spacing w:line="560" w:lineRule="exact"/>
        <w:textAlignment w:val="auto"/>
        <w:rPr>
          <w:rFonts w:hint="eastAsia" w:ascii="楷体_GB2312" w:hAnsi="楷体_GB2312" w:eastAsia="楷体_GB2312" w:cs="楷体_GB2312"/>
          <w:sz w:val="32"/>
          <w:szCs w:val="32"/>
        </w:rPr>
      </w:pPr>
      <w:bookmarkStart w:id="247" w:name="_Toc30305"/>
      <w:bookmarkStart w:id="248" w:name="_Toc9267"/>
      <w:bookmarkStart w:id="249" w:name="_Toc20424"/>
      <w:r>
        <w:rPr>
          <w:rFonts w:hint="eastAsia" w:ascii="楷体_GB2312" w:hAnsi="楷体_GB2312" w:eastAsia="楷体_GB2312" w:cs="楷体_GB2312"/>
          <w:sz w:val="32"/>
          <w:szCs w:val="32"/>
          <w:lang w:val="en-US" w:eastAsia="zh-CN"/>
        </w:rPr>
        <w:t>9.2</w:t>
      </w:r>
      <w:r>
        <w:rPr>
          <w:rFonts w:hint="eastAsia" w:ascii="楷体_GB2312" w:hAnsi="楷体_GB2312" w:eastAsia="楷体_GB2312" w:cs="楷体_GB2312"/>
          <w:sz w:val="32"/>
          <w:szCs w:val="32"/>
        </w:rPr>
        <w:t>建议</w:t>
      </w:r>
      <w:bookmarkEnd w:id="247"/>
      <w:bookmarkEnd w:id="248"/>
      <w:bookmarkEnd w:id="249"/>
      <w:r>
        <w:rPr>
          <w:rFonts w:hint="eastAsia" w:ascii="楷体_GB2312" w:hAnsi="楷体_GB2312" w:eastAsia="楷体_GB2312" w:cs="楷体_GB2312"/>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1、项目在报告批复后，应尽快委托有资质的设计单位对本项目进行工程设计，制订出详细的项目实施计划，尽早开展项目的其它前期工作。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2、建设单位要把资金落实到位，确保项目的建设顺利进行。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color w:val="auto"/>
          <w:sz w:val="32"/>
          <w:szCs w:val="32"/>
          <w:lang w:val="en-US" w:eastAsia="zh-CN"/>
        </w:rPr>
        <w:t>3、在项目建设过程中，应严格执行国家基本建设程序，加强管理，确保工程质量和安全生产，符和环境保护要求。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auto"/>
          <w:sz w:val="32"/>
          <w:szCs w:val="32"/>
          <w:lang w:val="en-US" w:eastAsia="zh-CN"/>
        </w:rPr>
      </w:pPr>
      <w:bookmarkStart w:id="250" w:name="_Toc5473"/>
      <w:bookmarkStart w:id="251" w:name="_Toc70682599"/>
      <w:bookmarkStart w:id="252" w:name="_Toc22113"/>
      <w:bookmarkStart w:id="253" w:name="_Toc79051171"/>
      <w:bookmarkStart w:id="254" w:name="_Toc74258638"/>
      <w:r>
        <w:rPr>
          <w:rFonts w:hint="eastAsia" w:ascii="仿宋" w:hAnsi="仿宋" w:eastAsia="仿宋" w:cs="仿宋"/>
          <w:color w:val="auto"/>
          <w:sz w:val="32"/>
          <w:szCs w:val="32"/>
          <w:lang w:val="en-US" w:eastAsia="zh-CN"/>
        </w:rPr>
        <w:t>4、建立社会监理和群众监督管理机制，发现风险因素立即提出并进行整改</w:t>
      </w:r>
      <w:bookmarkEnd w:id="250"/>
      <w:bookmarkEnd w:id="251"/>
      <w:bookmarkEnd w:id="252"/>
      <w:bookmarkEnd w:id="253"/>
      <w:bookmarkEnd w:id="254"/>
      <w:r>
        <w:rPr>
          <w:rFonts w:hint="eastAsia" w:ascii="仿宋" w:hAnsi="仿宋" w:eastAsia="仿宋" w:cs="仿宋"/>
          <w:color w:val="auto"/>
          <w:sz w:val="32"/>
          <w:szCs w:val="32"/>
          <w:lang w:val="en-US" w:eastAsia="zh-CN"/>
        </w:rPr>
        <w:t>。</w:t>
      </w:r>
    </w:p>
    <w:p>
      <w:pPr>
        <w:pageBreakBefore w:val="0"/>
        <w:widowControl w:val="0"/>
        <w:kinsoku/>
        <w:wordWrap/>
        <w:overflowPunct/>
        <w:topLinePunct w:val="0"/>
        <w:autoSpaceDE/>
        <w:autoSpaceDN/>
        <w:bidi w:val="0"/>
        <w:spacing w:line="560" w:lineRule="exact"/>
        <w:ind w:left="0" w:firstLine="640" w:firstLineChars="200"/>
        <w:textAlignment w:val="auto"/>
        <w:rPr>
          <w:rFonts w:hint="eastAsia" w:ascii="方正楷体简体" w:hAnsi="方正楷体简体" w:eastAsia="方正楷体简体" w:cs="方正楷体简体"/>
          <w:sz w:val="32"/>
          <w:szCs w:val="32"/>
        </w:rPr>
      </w:pPr>
    </w:p>
    <w:sectPr>
      <w:headerReference r:id="rId8" w:type="default"/>
      <w:footerReference r:id="rId9" w:type="default"/>
      <w:pgSz w:w="11900" w:h="16838"/>
      <w:pgMar w:top="1440" w:right="1797" w:bottom="1440" w:left="1797" w:header="850" w:footer="992" w:gutter="0"/>
      <w:pgNumType w:fmt="decimal"/>
      <w:cols w:space="0" w:num="1"/>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D12AFD-63D4-42B8-8E10-CFAC286EDC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00000000" w:usb1="00000000" w:usb2="00000000" w:usb3="00000000" w:csb0="00000000" w:csb1="00000000"/>
  </w:font>
  <w:font w:name="HYb2gj">
    <w:altName w:val="宋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embedRegular r:id="rId2" w:fontKey="{F13B744F-DCCF-46EF-9403-7B62DBDA50F8}"/>
  </w:font>
  <w:font w:name="方正小标宋简体">
    <w:panose1 w:val="03000509000000000000"/>
    <w:charset w:val="86"/>
    <w:family w:val="script"/>
    <w:pitch w:val="default"/>
    <w:sig w:usb0="00000001" w:usb1="080E0000" w:usb2="00000000" w:usb3="00000000" w:csb0="00040000" w:csb1="00000000"/>
    <w:embedRegular r:id="rId3" w:fontKey="{6F6EF46F-C55B-4091-92F6-AF9F6D274160}"/>
  </w:font>
  <w:font w:name="方正黑体简体">
    <w:altName w:val="微软雅黑"/>
    <w:panose1 w:val="02000000000000000000"/>
    <w:charset w:val="86"/>
    <w:family w:val="auto"/>
    <w:pitch w:val="default"/>
    <w:sig w:usb0="00000000" w:usb1="00000000" w:usb2="00000012" w:usb3="00000000" w:csb0="00040001" w:csb1="00000000"/>
    <w:embedRegular r:id="rId4" w:fontKey="{28823109-9E5B-472F-BD2B-973C7DC1B5D6}"/>
  </w:font>
  <w:font w:name="仿宋">
    <w:panose1 w:val="02010609060101010101"/>
    <w:charset w:val="86"/>
    <w:family w:val="modern"/>
    <w:pitch w:val="default"/>
    <w:sig w:usb0="800002BF" w:usb1="38CF7CFA" w:usb2="00000016" w:usb3="00000000" w:csb0="00040001" w:csb1="00000000"/>
    <w:embedRegular r:id="rId5" w:fontKey="{D8C435B5-8E23-4D86-B834-AB40D83CC0C0}"/>
  </w:font>
  <w:font w:name="仿宋_GB2312">
    <w:panose1 w:val="02010609030101010101"/>
    <w:charset w:val="86"/>
    <w:family w:val="auto"/>
    <w:pitch w:val="default"/>
    <w:sig w:usb0="00000001" w:usb1="080E0000" w:usb2="00000000" w:usb3="00000000" w:csb0="00040000" w:csb1="00000000"/>
    <w:embedRegular r:id="rId6" w:fontKey="{777E828B-0D5C-403B-AC44-48FA93B8F56C}"/>
  </w:font>
  <w:font w:name="方正楷体简体">
    <w:altName w:val="宋体"/>
    <w:panose1 w:val="02000000000000000000"/>
    <w:charset w:val="86"/>
    <w:family w:val="auto"/>
    <w:pitch w:val="default"/>
    <w:sig w:usb0="00000000" w:usb1="00000000" w:usb2="00000012" w:usb3="00000000" w:csb0="00040001" w:csb1="00000000"/>
    <w:embedRegular r:id="rId7" w:fontKey="{8C861DA2-E678-4355-9056-F63368DEB3DD}"/>
  </w:font>
  <w:font w:name="等线">
    <w:panose1 w:val="02010600030101010101"/>
    <w:charset w:val="00"/>
    <w:family w:val="auto"/>
    <w:pitch w:val="default"/>
    <w:sig w:usb0="00000000" w:usb1="00000000" w:usb2="00000000" w:usb3="00000000" w:csb0="00000000" w:csb1="00000000"/>
    <w:embedRegular r:id="rId8" w:fontKey="{78A85AA5-6F7C-47C2-A19C-8CA635DBB9C6}"/>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r>
      <w:rPr>
        <w:rFonts w:hint="eastAsia"/>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wordWrap w:val="0"/>
      <w:spacing w:line="276" w:lineRule="auto"/>
      <w:ind w:left="0" w:right="0" w:firstLine="0" w:firstLineChars="0"/>
      <w:jc w:val="center"/>
      <w:rPr>
        <w:rFonts w:hint="eastAsia" w:ascii="宋体" w:eastAsia="宋体"/>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line="276" w:lineRule="auto"/>
      <w:rPr>
        <w:rFonts w:ascii="宋体" w:eastAsia="宋体"/>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4BD8BB"/>
    <w:multiLevelType w:val="multilevel"/>
    <w:tmpl w:val="F24BD8BB"/>
    <w:lvl w:ilvl="0" w:tentative="0">
      <w:start w:val="1"/>
      <w:numFmt w:val="decimal"/>
      <w:lvlText w:val="第%1章 "/>
      <w:lvlJc w:val="center"/>
      <w:pPr>
        <w:tabs>
          <w:tab w:val="left" w:pos="3432"/>
        </w:tabs>
        <w:ind w:left="3278" w:firstLine="425"/>
      </w:pPr>
      <w:rPr>
        <w:rFonts w:ascii="宋体" w:hAnsi="宋体" w:eastAsia="宋体" w:cs="Times New Roman"/>
        <w:b/>
        <w:bCs w:val="0"/>
        <w:i w:val="0"/>
        <w:iCs w:val="0"/>
        <w:caps w:val="0"/>
        <w:smallCaps w:val="0"/>
        <w:strike w:val="0"/>
        <w:dstrike w:val="0"/>
        <w:snapToGrid w:val="0"/>
        <w:vanish w:val="0"/>
        <w:color w:val="000000"/>
        <w:spacing w:val="0"/>
        <w:kern w:val="0"/>
        <w:position w:val="0"/>
        <w:sz w:val="36"/>
        <w:szCs w:val="36"/>
        <w:u w:val="none"/>
        <w:vertAlign w:val="baseline"/>
      </w:rPr>
    </w:lvl>
    <w:lvl w:ilvl="1" w:tentative="0">
      <w:start w:val="1"/>
      <w:numFmt w:val="decimal"/>
      <w:lvlText w:val="%1.%2"/>
      <w:lvlJc w:val="left"/>
      <w:pPr>
        <w:tabs>
          <w:tab w:val="left" w:pos="0"/>
        </w:tabs>
        <w:ind w:left="-283" w:firstLine="425"/>
      </w:pPr>
      <w:rPr>
        <w:rFonts w:hint="eastAsia" w:ascii="宋体" w:hAnsi="宋体" w:eastAsia="宋体"/>
        <w:b/>
        <w:i w:val="0"/>
        <w:sz w:val="30"/>
        <w:szCs w:val="30"/>
      </w:rPr>
    </w:lvl>
    <w:lvl w:ilvl="2" w:tentative="0">
      <w:start w:val="1"/>
      <w:numFmt w:val="decimal"/>
      <w:pStyle w:val="5"/>
      <w:lvlText w:val="%1.%2.%3"/>
      <w:lvlJc w:val="left"/>
      <w:pPr>
        <w:tabs>
          <w:tab w:val="left" w:pos="2127"/>
        </w:tabs>
        <w:ind w:left="1702" w:firstLine="425"/>
      </w:pPr>
    </w:lvl>
    <w:lvl w:ilvl="3" w:tentative="0">
      <w:start w:val="1"/>
      <w:numFmt w:val="decimal"/>
      <w:lvlText w:val="%1.%2.%3.%4"/>
      <w:lvlJc w:val="left"/>
      <w:pPr>
        <w:tabs>
          <w:tab w:val="left" w:pos="425"/>
        </w:tabs>
        <w:ind w:left="0" w:firstLine="425"/>
      </w:pPr>
    </w:lvl>
    <w:lvl w:ilvl="4" w:tentative="0">
      <w:start w:val="1"/>
      <w:numFmt w:val="decimal"/>
      <w:lvlText w:val="（%5）"/>
      <w:lvlJc w:val="left"/>
      <w:pPr>
        <w:tabs>
          <w:tab w:val="left" w:pos="568"/>
        </w:tabs>
        <w:ind w:left="143" w:firstLine="425"/>
      </w:pPr>
      <w:rPr>
        <w:rFonts w:hint="eastAsia" w:eastAsia="宋体"/>
        <w:sz w:val="28"/>
      </w:rPr>
    </w:lvl>
    <w:lvl w:ilvl="5" w:tentative="0">
      <w:start w:val="1"/>
      <w:numFmt w:val="upperLetter"/>
      <w:lvlText w:val="%6）"/>
      <w:lvlJc w:val="left"/>
      <w:pPr>
        <w:tabs>
          <w:tab w:val="left" w:pos="425"/>
        </w:tabs>
        <w:ind w:left="0" w:firstLine="425"/>
      </w:pPr>
      <w:rPr>
        <w:rFonts w:hint="eastAsia" w:eastAsia="宋体"/>
        <w:sz w:val="28"/>
      </w:rPr>
    </w:lvl>
    <w:lvl w:ilvl="6" w:tentative="0">
      <w:start w:val="1"/>
      <w:numFmt w:val="decimal"/>
      <w:lvlText w:val="%1.%2.%3.%4.%5.%6.%7"/>
      <w:lvlJc w:val="left"/>
      <w:pPr>
        <w:tabs>
          <w:tab w:val="left" w:pos="0"/>
        </w:tabs>
        <w:ind w:left="3827" w:hanging="3402"/>
      </w:pPr>
      <w:rPr>
        <w:rFonts w:hint="eastAsia"/>
      </w:rPr>
    </w:lvl>
    <w:lvl w:ilvl="7" w:tentative="0">
      <w:start w:val="1"/>
      <w:numFmt w:val="decimal"/>
      <w:lvlText w:val="%1.%2.%3.%4.%5.%6.%7.%8"/>
      <w:lvlJc w:val="left"/>
      <w:pPr>
        <w:tabs>
          <w:tab w:val="left" w:pos="0"/>
        </w:tabs>
        <w:ind w:left="4394" w:hanging="3969"/>
      </w:pPr>
      <w:rPr>
        <w:rFonts w:hint="eastAsia"/>
      </w:rPr>
    </w:lvl>
    <w:lvl w:ilvl="8" w:tentative="0">
      <w:start w:val="1"/>
      <w:numFmt w:val="decimal"/>
      <w:lvlText w:val="%1.%2.%3.%4.%5.%6.%7.%8.%9"/>
      <w:lvlJc w:val="left"/>
      <w:pPr>
        <w:tabs>
          <w:tab w:val="left" w:pos="0"/>
        </w:tabs>
        <w:ind w:left="5102" w:hanging="4677"/>
      </w:pPr>
      <w:rPr>
        <w:rFonts w:hint="eastAsia"/>
      </w:rPr>
    </w:lvl>
  </w:abstractNum>
  <w:abstractNum w:abstractNumId="1">
    <w:nsid w:val="4F4F9E55"/>
    <w:multiLevelType w:val="multilevel"/>
    <w:tmpl w:val="4F4F9E55"/>
    <w:lvl w:ilvl="0" w:tentative="0">
      <w:start w:val="0"/>
      <w:numFmt w:val="decimal"/>
      <w:lvlText w:val="第%1章 "/>
      <w:lvlJc w:val="center"/>
      <w:pPr>
        <w:tabs>
          <w:tab w:val="left" w:pos="3432"/>
        </w:tabs>
        <w:ind w:left="2978" w:firstLine="425"/>
      </w:pPr>
      <w:rPr>
        <w:rFonts w:hint="default" w:ascii="宋体" w:hAnsi="宋体" w:eastAsia="宋体" w:cs="Times New Roman"/>
        <w:b/>
        <w:bCs w:val="0"/>
        <w:i w:val="0"/>
        <w:iCs w:val="0"/>
        <w:caps w:val="0"/>
        <w:smallCaps w:val="0"/>
        <w:strike w:val="0"/>
        <w:dstrike w:val="0"/>
        <w:snapToGrid w:val="0"/>
        <w:vanish w:val="0"/>
        <w:color w:val="000000"/>
        <w:spacing w:val="0"/>
        <w:kern w:val="0"/>
        <w:position w:val="0"/>
        <w:sz w:val="36"/>
        <w:szCs w:val="36"/>
        <w:u w:val="none"/>
        <w:vertAlign w:val="baseline"/>
      </w:rPr>
    </w:lvl>
    <w:lvl w:ilvl="1" w:tentative="0">
      <w:start w:val="1"/>
      <w:numFmt w:val="decimal"/>
      <w:pStyle w:val="2"/>
      <w:lvlText w:val="%1.%2"/>
      <w:lvlJc w:val="left"/>
      <w:pPr>
        <w:tabs>
          <w:tab w:val="left" w:pos="0"/>
        </w:tabs>
        <w:ind w:left="-283" w:firstLine="425"/>
      </w:pPr>
      <w:rPr>
        <w:rFonts w:hint="eastAsia" w:ascii="宋体" w:hAnsi="宋体" w:eastAsia="宋体"/>
        <w:b/>
        <w:i w:val="0"/>
        <w:sz w:val="30"/>
        <w:szCs w:val="30"/>
      </w:rPr>
    </w:lvl>
    <w:lvl w:ilvl="2" w:tentative="0">
      <w:start w:val="1"/>
      <w:numFmt w:val="decimal"/>
      <w:lvlText w:val="%1.%2.%3"/>
      <w:lvlJc w:val="left"/>
      <w:pPr>
        <w:tabs>
          <w:tab w:val="left" w:pos="2127"/>
        </w:tabs>
        <w:ind w:left="1702" w:firstLine="425"/>
      </w:pPr>
    </w:lvl>
    <w:lvl w:ilvl="3" w:tentative="0">
      <w:start w:val="1"/>
      <w:numFmt w:val="decimal"/>
      <w:lvlText w:val="%1.%2.%3.%4"/>
      <w:lvlJc w:val="left"/>
      <w:pPr>
        <w:tabs>
          <w:tab w:val="left" w:pos="425"/>
        </w:tabs>
        <w:ind w:left="0" w:firstLine="425"/>
      </w:pPr>
    </w:lvl>
    <w:lvl w:ilvl="4" w:tentative="0">
      <w:start w:val="1"/>
      <w:numFmt w:val="decimal"/>
      <w:lvlText w:val="（%5）"/>
      <w:lvlJc w:val="left"/>
      <w:pPr>
        <w:tabs>
          <w:tab w:val="left" w:pos="568"/>
        </w:tabs>
        <w:ind w:left="143" w:firstLine="425"/>
      </w:pPr>
      <w:rPr>
        <w:rFonts w:hint="eastAsia" w:eastAsia="宋体"/>
        <w:sz w:val="28"/>
      </w:rPr>
    </w:lvl>
    <w:lvl w:ilvl="5" w:tentative="0">
      <w:start w:val="1"/>
      <w:numFmt w:val="upperLetter"/>
      <w:lvlText w:val="%6）"/>
      <w:lvlJc w:val="left"/>
      <w:pPr>
        <w:tabs>
          <w:tab w:val="left" w:pos="425"/>
        </w:tabs>
        <w:ind w:left="0" w:firstLine="425"/>
      </w:pPr>
      <w:rPr>
        <w:rFonts w:hint="eastAsia" w:eastAsia="宋体"/>
        <w:sz w:val="28"/>
      </w:rPr>
    </w:lvl>
    <w:lvl w:ilvl="6" w:tentative="0">
      <w:start w:val="1"/>
      <w:numFmt w:val="decimal"/>
      <w:lvlText w:val="%1.%2.%3.%4.%5.%6.%7"/>
      <w:lvlJc w:val="left"/>
      <w:pPr>
        <w:tabs>
          <w:tab w:val="left" w:pos="0"/>
        </w:tabs>
        <w:ind w:left="3827" w:hanging="3402"/>
      </w:pPr>
      <w:rPr>
        <w:rFonts w:hint="eastAsia"/>
      </w:rPr>
    </w:lvl>
    <w:lvl w:ilvl="7" w:tentative="0">
      <w:start w:val="1"/>
      <w:numFmt w:val="decimal"/>
      <w:lvlText w:val="%1.%2.%3.%4.%5.%6.%7.%8"/>
      <w:lvlJc w:val="left"/>
      <w:pPr>
        <w:tabs>
          <w:tab w:val="left" w:pos="0"/>
        </w:tabs>
        <w:ind w:left="4394" w:hanging="3969"/>
      </w:pPr>
      <w:rPr>
        <w:rFonts w:hint="eastAsia"/>
      </w:rPr>
    </w:lvl>
    <w:lvl w:ilvl="8" w:tentative="0">
      <w:start w:val="1"/>
      <w:numFmt w:val="decimal"/>
      <w:lvlText w:val="%1.%2.%3.%4.%5.%6.%7.%8.%9"/>
      <w:lvlJc w:val="left"/>
      <w:pPr>
        <w:tabs>
          <w:tab w:val="left" w:pos="0"/>
        </w:tabs>
        <w:ind w:left="5102" w:hanging="4677"/>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yYjk0ZmY1NzUxNjYxMWMxZjliOTdlMjA4NDRiNTAifQ=="/>
  </w:docVars>
  <w:rsids>
    <w:rsidRoot w:val="00DC3189"/>
    <w:rsid w:val="00036ACC"/>
    <w:rsid w:val="00096F1A"/>
    <w:rsid w:val="000974DF"/>
    <w:rsid w:val="00126AAB"/>
    <w:rsid w:val="001A434E"/>
    <w:rsid w:val="001C0158"/>
    <w:rsid w:val="001F0C07"/>
    <w:rsid w:val="00246619"/>
    <w:rsid w:val="00286DB6"/>
    <w:rsid w:val="00290EF7"/>
    <w:rsid w:val="00294356"/>
    <w:rsid w:val="00346967"/>
    <w:rsid w:val="003B42C5"/>
    <w:rsid w:val="00407F2D"/>
    <w:rsid w:val="004B669C"/>
    <w:rsid w:val="004E17A6"/>
    <w:rsid w:val="00577A4A"/>
    <w:rsid w:val="00626560"/>
    <w:rsid w:val="006B42CF"/>
    <w:rsid w:val="006B685B"/>
    <w:rsid w:val="006D02CF"/>
    <w:rsid w:val="007A7DDA"/>
    <w:rsid w:val="007D6ED7"/>
    <w:rsid w:val="007F040B"/>
    <w:rsid w:val="0092513B"/>
    <w:rsid w:val="00971F0F"/>
    <w:rsid w:val="00A0692A"/>
    <w:rsid w:val="00A06F97"/>
    <w:rsid w:val="00A400FD"/>
    <w:rsid w:val="00B24B29"/>
    <w:rsid w:val="00C72A49"/>
    <w:rsid w:val="00D86D21"/>
    <w:rsid w:val="00DC3189"/>
    <w:rsid w:val="00E165F2"/>
    <w:rsid w:val="00F06EEA"/>
    <w:rsid w:val="00F44EF0"/>
    <w:rsid w:val="00F56949"/>
    <w:rsid w:val="00FC5EB2"/>
    <w:rsid w:val="00FE719C"/>
    <w:rsid w:val="017F60D0"/>
    <w:rsid w:val="020E7EB7"/>
    <w:rsid w:val="024E68F9"/>
    <w:rsid w:val="02A521FF"/>
    <w:rsid w:val="03101E00"/>
    <w:rsid w:val="03C14F9B"/>
    <w:rsid w:val="040A7E21"/>
    <w:rsid w:val="04330849"/>
    <w:rsid w:val="04383FCD"/>
    <w:rsid w:val="04C85BAC"/>
    <w:rsid w:val="05135B69"/>
    <w:rsid w:val="05364798"/>
    <w:rsid w:val="055732CB"/>
    <w:rsid w:val="05695D0C"/>
    <w:rsid w:val="057E1BA5"/>
    <w:rsid w:val="063308C0"/>
    <w:rsid w:val="06AD75E9"/>
    <w:rsid w:val="083A0698"/>
    <w:rsid w:val="089A5717"/>
    <w:rsid w:val="0936320F"/>
    <w:rsid w:val="095102A3"/>
    <w:rsid w:val="097A4477"/>
    <w:rsid w:val="09C63218"/>
    <w:rsid w:val="09EF276F"/>
    <w:rsid w:val="0A051F93"/>
    <w:rsid w:val="0A1907A5"/>
    <w:rsid w:val="0A221F43"/>
    <w:rsid w:val="0AA07DBC"/>
    <w:rsid w:val="0AB3379D"/>
    <w:rsid w:val="0AB6328D"/>
    <w:rsid w:val="0B1C2E20"/>
    <w:rsid w:val="0B845818"/>
    <w:rsid w:val="0CD1749B"/>
    <w:rsid w:val="0CEF09E8"/>
    <w:rsid w:val="0DA10EB4"/>
    <w:rsid w:val="0DB64331"/>
    <w:rsid w:val="0DE46363"/>
    <w:rsid w:val="0E72396F"/>
    <w:rsid w:val="0EC266A4"/>
    <w:rsid w:val="0EE20764"/>
    <w:rsid w:val="0F2E7F0D"/>
    <w:rsid w:val="0F362BEE"/>
    <w:rsid w:val="0F66015E"/>
    <w:rsid w:val="0F8C5F99"/>
    <w:rsid w:val="107E5207"/>
    <w:rsid w:val="10805480"/>
    <w:rsid w:val="10D1569D"/>
    <w:rsid w:val="11C614D5"/>
    <w:rsid w:val="12346859"/>
    <w:rsid w:val="127A1044"/>
    <w:rsid w:val="13566C69"/>
    <w:rsid w:val="13EA1DCD"/>
    <w:rsid w:val="147A27BC"/>
    <w:rsid w:val="157320EA"/>
    <w:rsid w:val="15B85EBE"/>
    <w:rsid w:val="160E21CF"/>
    <w:rsid w:val="16E13640"/>
    <w:rsid w:val="17444861"/>
    <w:rsid w:val="1752238A"/>
    <w:rsid w:val="17B1293C"/>
    <w:rsid w:val="17BD3EAD"/>
    <w:rsid w:val="17FF1F7E"/>
    <w:rsid w:val="18071712"/>
    <w:rsid w:val="18702474"/>
    <w:rsid w:val="18BC31EC"/>
    <w:rsid w:val="18C91619"/>
    <w:rsid w:val="1A584B63"/>
    <w:rsid w:val="1A7035D8"/>
    <w:rsid w:val="1ADA4D76"/>
    <w:rsid w:val="1BFA5C4C"/>
    <w:rsid w:val="1CD04682"/>
    <w:rsid w:val="1DFF49BB"/>
    <w:rsid w:val="1DFF6132"/>
    <w:rsid w:val="1E540FC2"/>
    <w:rsid w:val="1EEC1283"/>
    <w:rsid w:val="1FDF698A"/>
    <w:rsid w:val="20085EE1"/>
    <w:rsid w:val="204075B5"/>
    <w:rsid w:val="20907D60"/>
    <w:rsid w:val="20F326ED"/>
    <w:rsid w:val="21571C24"/>
    <w:rsid w:val="216F5A67"/>
    <w:rsid w:val="217A127F"/>
    <w:rsid w:val="21D24FAA"/>
    <w:rsid w:val="22996134"/>
    <w:rsid w:val="22AF5101"/>
    <w:rsid w:val="22B77B46"/>
    <w:rsid w:val="22D53DB7"/>
    <w:rsid w:val="234C6570"/>
    <w:rsid w:val="23EE0490"/>
    <w:rsid w:val="241308D1"/>
    <w:rsid w:val="246E3804"/>
    <w:rsid w:val="249C2236"/>
    <w:rsid w:val="249E6E14"/>
    <w:rsid w:val="25207A60"/>
    <w:rsid w:val="2606593D"/>
    <w:rsid w:val="261A0C88"/>
    <w:rsid w:val="26600825"/>
    <w:rsid w:val="26B945F4"/>
    <w:rsid w:val="284B1061"/>
    <w:rsid w:val="28DA276A"/>
    <w:rsid w:val="2920604A"/>
    <w:rsid w:val="296E0C48"/>
    <w:rsid w:val="29DA25A5"/>
    <w:rsid w:val="2A601659"/>
    <w:rsid w:val="2A6C3199"/>
    <w:rsid w:val="2A876E2A"/>
    <w:rsid w:val="2A9354EB"/>
    <w:rsid w:val="2B222FBC"/>
    <w:rsid w:val="2C4409B5"/>
    <w:rsid w:val="2D0D0DA5"/>
    <w:rsid w:val="2DA9478C"/>
    <w:rsid w:val="2DC66C82"/>
    <w:rsid w:val="2F4D48C4"/>
    <w:rsid w:val="2F624C7E"/>
    <w:rsid w:val="2F9D59D0"/>
    <w:rsid w:val="30591F4D"/>
    <w:rsid w:val="308F2142"/>
    <w:rsid w:val="30C25BF4"/>
    <w:rsid w:val="313E2241"/>
    <w:rsid w:val="314E5A41"/>
    <w:rsid w:val="31E10340"/>
    <w:rsid w:val="31E47B17"/>
    <w:rsid w:val="32573E8A"/>
    <w:rsid w:val="326B46FA"/>
    <w:rsid w:val="326C73C7"/>
    <w:rsid w:val="33511D45"/>
    <w:rsid w:val="338109CF"/>
    <w:rsid w:val="33EF0F80"/>
    <w:rsid w:val="34332D9A"/>
    <w:rsid w:val="34AC10D9"/>
    <w:rsid w:val="34E655CB"/>
    <w:rsid w:val="368E5203"/>
    <w:rsid w:val="36B751D7"/>
    <w:rsid w:val="36DE4870"/>
    <w:rsid w:val="36F40B16"/>
    <w:rsid w:val="36FD79CA"/>
    <w:rsid w:val="376A2ED2"/>
    <w:rsid w:val="377F7B12"/>
    <w:rsid w:val="378D340E"/>
    <w:rsid w:val="37A61E10"/>
    <w:rsid w:val="37E071AC"/>
    <w:rsid w:val="37EE60A8"/>
    <w:rsid w:val="37FA1570"/>
    <w:rsid w:val="38C369F1"/>
    <w:rsid w:val="3AA905B3"/>
    <w:rsid w:val="3AB900AC"/>
    <w:rsid w:val="3B8E541A"/>
    <w:rsid w:val="3C164D5C"/>
    <w:rsid w:val="3C613794"/>
    <w:rsid w:val="3C8D220B"/>
    <w:rsid w:val="3CBD0327"/>
    <w:rsid w:val="3CC133C8"/>
    <w:rsid w:val="3CCB52FD"/>
    <w:rsid w:val="3CD44FE2"/>
    <w:rsid w:val="3CEC23BE"/>
    <w:rsid w:val="3D2F6B23"/>
    <w:rsid w:val="3D334157"/>
    <w:rsid w:val="3D8175A7"/>
    <w:rsid w:val="3DF26BEC"/>
    <w:rsid w:val="3E4D1237"/>
    <w:rsid w:val="3ED86957"/>
    <w:rsid w:val="3F4751A3"/>
    <w:rsid w:val="3FAC311E"/>
    <w:rsid w:val="3FFE14EE"/>
    <w:rsid w:val="402A567E"/>
    <w:rsid w:val="411A2055"/>
    <w:rsid w:val="4186792D"/>
    <w:rsid w:val="41DF6E51"/>
    <w:rsid w:val="42D27F5D"/>
    <w:rsid w:val="43953B3A"/>
    <w:rsid w:val="44A458E2"/>
    <w:rsid w:val="46263727"/>
    <w:rsid w:val="47617B01"/>
    <w:rsid w:val="47E136EB"/>
    <w:rsid w:val="49244D1A"/>
    <w:rsid w:val="49272C39"/>
    <w:rsid w:val="49C425C9"/>
    <w:rsid w:val="49CC535B"/>
    <w:rsid w:val="4A3C32E7"/>
    <w:rsid w:val="4A8055D9"/>
    <w:rsid w:val="4BD25714"/>
    <w:rsid w:val="4C2E58E4"/>
    <w:rsid w:val="4C3C0B3D"/>
    <w:rsid w:val="4C592E38"/>
    <w:rsid w:val="4CB01351"/>
    <w:rsid w:val="4D2B6E8F"/>
    <w:rsid w:val="4D6A1920"/>
    <w:rsid w:val="4DC647E3"/>
    <w:rsid w:val="4DC972B8"/>
    <w:rsid w:val="4E9A17C2"/>
    <w:rsid w:val="4F4C7D81"/>
    <w:rsid w:val="4FC65C93"/>
    <w:rsid w:val="50E90A26"/>
    <w:rsid w:val="53B254AE"/>
    <w:rsid w:val="5444033B"/>
    <w:rsid w:val="54920AF0"/>
    <w:rsid w:val="549B4023"/>
    <w:rsid w:val="54C56D6E"/>
    <w:rsid w:val="54D54733"/>
    <w:rsid w:val="54E71EC3"/>
    <w:rsid w:val="55CB6D3E"/>
    <w:rsid w:val="55D0369C"/>
    <w:rsid w:val="564C7BCE"/>
    <w:rsid w:val="570C2B2C"/>
    <w:rsid w:val="574D4C69"/>
    <w:rsid w:val="575764F1"/>
    <w:rsid w:val="57664CC0"/>
    <w:rsid w:val="57BD0D84"/>
    <w:rsid w:val="583B614D"/>
    <w:rsid w:val="586456A3"/>
    <w:rsid w:val="588D3910"/>
    <w:rsid w:val="58F1020E"/>
    <w:rsid w:val="591305FD"/>
    <w:rsid w:val="59A71B5D"/>
    <w:rsid w:val="5A397466"/>
    <w:rsid w:val="5AC715D3"/>
    <w:rsid w:val="5ADB42C3"/>
    <w:rsid w:val="5B4812AC"/>
    <w:rsid w:val="5B7C4AB2"/>
    <w:rsid w:val="5B7D6F6F"/>
    <w:rsid w:val="5BC41417"/>
    <w:rsid w:val="5D2378DB"/>
    <w:rsid w:val="5E6C3500"/>
    <w:rsid w:val="5F0C6419"/>
    <w:rsid w:val="5F3D3026"/>
    <w:rsid w:val="5F4F45A2"/>
    <w:rsid w:val="5F6B7317"/>
    <w:rsid w:val="5FD72CD9"/>
    <w:rsid w:val="6026553D"/>
    <w:rsid w:val="60327F9A"/>
    <w:rsid w:val="622D0D14"/>
    <w:rsid w:val="62673CF3"/>
    <w:rsid w:val="635518BE"/>
    <w:rsid w:val="63D80CF3"/>
    <w:rsid w:val="6400799F"/>
    <w:rsid w:val="641E6869"/>
    <w:rsid w:val="641F4B74"/>
    <w:rsid w:val="64A37553"/>
    <w:rsid w:val="64DF4A2F"/>
    <w:rsid w:val="64E164E3"/>
    <w:rsid w:val="655D74FA"/>
    <w:rsid w:val="663241DB"/>
    <w:rsid w:val="667D4F66"/>
    <w:rsid w:val="670D60AB"/>
    <w:rsid w:val="674555B8"/>
    <w:rsid w:val="692C4BFA"/>
    <w:rsid w:val="697554D0"/>
    <w:rsid w:val="6AAE5FE4"/>
    <w:rsid w:val="6AAF0A00"/>
    <w:rsid w:val="6BE50DDC"/>
    <w:rsid w:val="6D012174"/>
    <w:rsid w:val="6D9B3AD4"/>
    <w:rsid w:val="6E7750B1"/>
    <w:rsid w:val="6EF308E2"/>
    <w:rsid w:val="6F8B1310"/>
    <w:rsid w:val="6FB8461B"/>
    <w:rsid w:val="6FD902CD"/>
    <w:rsid w:val="6FF73669"/>
    <w:rsid w:val="70240A1A"/>
    <w:rsid w:val="7114187A"/>
    <w:rsid w:val="71582DBD"/>
    <w:rsid w:val="717F260B"/>
    <w:rsid w:val="71E46B34"/>
    <w:rsid w:val="72536115"/>
    <w:rsid w:val="73452E97"/>
    <w:rsid w:val="73971171"/>
    <w:rsid w:val="74907248"/>
    <w:rsid w:val="74954EF2"/>
    <w:rsid w:val="74FA4F6E"/>
    <w:rsid w:val="75091CE1"/>
    <w:rsid w:val="75820DC8"/>
    <w:rsid w:val="761107C1"/>
    <w:rsid w:val="76393924"/>
    <w:rsid w:val="76A06D63"/>
    <w:rsid w:val="77241CD1"/>
    <w:rsid w:val="78EC5AE8"/>
    <w:rsid w:val="7927508C"/>
    <w:rsid w:val="79730235"/>
    <w:rsid w:val="7AEE3452"/>
    <w:rsid w:val="7B034450"/>
    <w:rsid w:val="7B5056E7"/>
    <w:rsid w:val="7B7A6F95"/>
    <w:rsid w:val="7CA51146"/>
    <w:rsid w:val="7D6A4F9F"/>
    <w:rsid w:val="7D742DD1"/>
    <w:rsid w:val="7E0C7A4E"/>
    <w:rsid w:val="7E3E250B"/>
    <w:rsid w:val="7EBF795A"/>
    <w:rsid w:val="7EC87E8B"/>
    <w:rsid w:val="7ED969FB"/>
    <w:rsid w:val="7F504165"/>
    <w:rsid w:val="7F7D0C75"/>
    <w:rsid w:val="7FA83801"/>
    <w:rsid w:val="7FBA5A25"/>
    <w:rsid w:val="7FC96819"/>
    <w:rsid w:val="7FDC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2">
    <w:name w:val="heading 2"/>
    <w:basedOn w:val="1"/>
    <w:next w:val="3"/>
    <w:qFormat/>
    <w:uiPriority w:val="0"/>
    <w:pPr>
      <w:keepLines/>
      <w:widowControl w:val="0"/>
      <w:numPr>
        <w:ilvl w:val="1"/>
        <w:numId w:val="1"/>
      </w:numPr>
      <w:tabs>
        <w:tab w:val="left" w:pos="567"/>
      </w:tabs>
      <w:adjustRightInd w:val="0"/>
      <w:snapToGrid w:val="0"/>
      <w:ind w:left="0" w:firstLine="0" w:firstLineChars="0"/>
      <w:jc w:val="left"/>
      <w:outlineLvl w:val="1"/>
    </w:pPr>
    <w:rPr>
      <w:rFonts w:ascii="宋体" w:eastAsia="宋体"/>
      <w:b/>
    </w:rPr>
  </w:style>
  <w:style w:type="paragraph" w:styleId="5">
    <w:name w:val="heading 3"/>
    <w:basedOn w:val="1"/>
    <w:next w:val="1"/>
    <w:qFormat/>
    <w:uiPriority w:val="0"/>
    <w:pPr>
      <w:keepNext/>
      <w:keepLines/>
      <w:widowControl w:val="0"/>
      <w:numPr>
        <w:ilvl w:val="2"/>
        <w:numId w:val="2"/>
      </w:numPr>
      <w:tabs>
        <w:tab w:val="left" w:pos="0"/>
      </w:tabs>
      <w:adjustRightInd w:val="0"/>
      <w:snapToGrid w:val="0"/>
      <w:ind w:firstLineChars="0"/>
      <w:jc w:val="left"/>
      <w:outlineLvl w:val="2"/>
    </w:pPr>
    <w:rPr>
      <w:rFonts w:ascii="宋体" w:eastAsia="宋体"/>
      <w:b/>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6">
    <w:name w:val="annotation text"/>
    <w:basedOn w:val="1"/>
    <w:link w:val="30"/>
    <w:semiHidden/>
    <w:unhideWhenUsed/>
    <w:qFormat/>
    <w:uiPriority w:val="99"/>
    <w:pPr>
      <w:jc w:val="left"/>
    </w:pPr>
  </w:style>
  <w:style w:type="paragraph" w:styleId="7">
    <w:name w:val="index 6"/>
    <w:basedOn w:val="1"/>
    <w:next w:val="1"/>
    <w:semiHidden/>
    <w:qFormat/>
    <w:uiPriority w:val="0"/>
    <w:pPr>
      <w:ind w:left="1000" w:leftChars="1000"/>
    </w:pPr>
  </w:style>
  <w:style w:type="paragraph" w:styleId="8">
    <w:name w:val="Body Text Indent"/>
    <w:basedOn w:val="1"/>
    <w:unhideWhenUsed/>
    <w:qFormat/>
    <w:uiPriority w:val="0"/>
    <w:pPr>
      <w:spacing w:after="120"/>
      <w:ind w:left="420" w:leftChars="200"/>
    </w:pPr>
  </w:style>
  <w:style w:type="paragraph" w:styleId="9">
    <w:name w:val="toc 3"/>
    <w:basedOn w:val="1"/>
    <w:next w:val="1"/>
    <w:unhideWhenUsed/>
    <w:qFormat/>
    <w:uiPriority w:val="39"/>
    <w:pPr>
      <w:ind w:left="840" w:leftChars="400"/>
    </w:pPr>
  </w:style>
  <w:style w:type="paragraph" w:styleId="10">
    <w:name w:val="Body Text Indent 2"/>
    <w:basedOn w:val="1"/>
    <w:qFormat/>
    <w:uiPriority w:val="0"/>
    <w:pPr>
      <w:spacing w:after="120" w:line="480" w:lineRule="auto"/>
      <w:ind w:left="200" w:leftChars="200"/>
    </w:pPr>
  </w:style>
  <w:style w:type="paragraph" w:styleId="11">
    <w:name w:val="Balloon Text"/>
    <w:basedOn w:val="1"/>
    <w:link w:val="28"/>
    <w:semiHidden/>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annotation subject"/>
    <w:basedOn w:val="6"/>
    <w:next w:val="6"/>
    <w:link w:val="31"/>
    <w:semiHidden/>
    <w:unhideWhenUsed/>
    <w:qFormat/>
    <w:uiPriority w:val="99"/>
    <w:rPr>
      <w:b/>
      <w:bCs/>
    </w:rPr>
  </w:style>
  <w:style w:type="paragraph" w:styleId="17">
    <w:name w:val="Body Text First Indent 2"/>
    <w:basedOn w:val="8"/>
    <w:qFormat/>
    <w:uiPriority w:val="0"/>
    <w:pPr>
      <w:spacing w:after="0" w:line="240" w:lineRule="exact"/>
      <w:ind w:left="0" w:leftChars="0" w:firstLine="420"/>
      <w:jc w:val="left"/>
    </w:pPr>
    <w:rPr>
      <w:rFonts w:ascii="宋体" w:hAnsi="Times New Roman" w:eastAsia="宋体"/>
      <w:bCs/>
      <w:sz w:val="21"/>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000FF"/>
      <w:u w:val="single"/>
    </w:rPr>
  </w:style>
  <w:style w:type="character" w:styleId="22">
    <w:name w:val="annotation reference"/>
    <w:basedOn w:val="20"/>
    <w:semiHidden/>
    <w:unhideWhenUsed/>
    <w:qFormat/>
    <w:uiPriority w:val="99"/>
    <w:rPr>
      <w:sz w:val="21"/>
      <w:szCs w:val="21"/>
    </w:rPr>
  </w:style>
  <w:style w:type="paragraph" w:customStyle="1" w:styleId="23">
    <w:name w:val="Default"/>
    <w:next w:val="7"/>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character" w:customStyle="1" w:styleId="24">
    <w:name w:val="标题 1 字符"/>
    <w:basedOn w:val="20"/>
    <w:link w:val="4"/>
    <w:qFormat/>
    <w:uiPriority w:val="9"/>
    <w:rPr>
      <w:rFonts w:ascii="Times New Roman" w:hAnsi="Times New Roman" w:eastAsia="黑体" w:cs="Arial"/>
      <w:b/>
      <w:bCs/>
      <w:kern w:val="44"/>
      <w:sz w:val="28"/>
      <w:szCs w:val="44"/>
    </w:rPr>
  </w:style>
  <w:style w:type="paragraph" w:customStyle="1" w:styleId="25">
    <w:name w:val="列表段落1"/>
    <w:basedOn w:val="1"/>
    <w:qFormat/>
    <w:uiPriority w:val="34"/>
    <w:pPr>
      <w:ind w:firstLine="420" w:firstLineChars="200"/>
    </w:pPr>
  </w:style>
  <w:style w:type="character" w:customStyle="1" w:styleId="26">
    <w:name w:val="页眉 字符"/>
    <w:basedOn w:val="20"/>
    <w:link w:val="13"/>
    <w:qFormat/>
    <w:uiPriority w:val="99"/>
    <w:rPr>
      <w:sz w:val="18"/>
      <w:szCs w:val="18"/>
    </w:rPr>
  </w:style>
  <w:style w:type="character" w:customStyle="1" w:styleId="27">
    <w:name w:val="页脚 字符"/>
    <w:basedOn w:val="20"/>
    <w:link w:val="12"/>
    <w:qFormat/>
    <w:uiPriority w:val="99"/>
    <w:rPr>
      <w:sz w:val="18"/>
      <w:szCs w:val="18"/>
    </w:rPr>
  </w:style>
  <w:style w:type="character" w:customStyle="1" w:styleId="28">
    <w:name w:val="批注框文本 字符"/>
    <w:basedOn w:val="20"/>
    <w:link w:val="11"/>
    <w:semiHidden/>
    <w:qFormat/>
    <w:uiPriority w:val="99"/>
    <w:rPr>
      <w:rFonts w:asciiTheme="minorHAnsi" w:hAnsiTheme="minorHAnsi" w:eastAsiaTheme="minorEastAsia" w:cstheme="minorBidi"/>
      <w:kern w:val="2"/>
      <w:sz w:val="18"/>
      <w:szCs w:val="18"/>
    </w:rPr>
  </w:style>
  <w:style w:type="paragraph" w:customStyle="1" w:styleId="29">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0">
    <w:name w:val="批注文字 字符"/>
    <w:basedOn w:val="20"/>
    <w:link w:val="6"/>
    <w:semiHidden/>
    <w:qFormat/>
    <w:uiPriority w:val="99"/>
    <w:rPr>
      <w:rFonts w:asciiTheme="minorHAnsi" w:hAnsiTheme="minorHAnsi" w:eastAsiaTheme="minorEastAsia" w:cstheme="minorBidi"/>
      <w:kern w:val="2"/>
      <w:sz w:val="21"/>
      <w:szCs w:val="22"/>
    </w:rPr>
  </w:style>
  <w:style w:type="character" w:customStyle="1" w:styleId="31">
    <w:name w:val="批注主题 字符"/>
    <w:basedOn w:val="30"/>
    <w:link w:val="16"/>
    <w:semiHidden/>
    <w:qFormat/>
    <w:uiPriority w:val="99"/>
    <w:rPr>
      <w:rFonts w:asciiTheme="minorHAnsi" w:hAnsiTheme="minorHAnsi" w:eastAsiaTheme="minorEastAsia" w:cstheme="minorBidi"/>
      <w:b/>
      <w:bCs/>
      <w:kern w:val="2"/>
      <w:sz w:val="21"/>
      <w:szCs w:val="22"/>
    </w:rPr>
  </w:style>
  <w:style w:type="paragraph" w:styleId="32">
    <w:name w:val="List Paragraph"/>
    <w:basedOn w:val="1"/>
    <w:unhideWhenUsed/>
    <w:qFormat/>
    <w:uiPriority w:val="99"/>
    <w:pPr>
      <w:ind w:firstLine="420" w:firstLineChars="200"/>
    </w:pPr>
  </w:style>
  <w:style w:type="character" w:customStyle="1" w:styleId="33">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E7E465-64E7-4413-8BDF-E040362141AD}">
  <ds:schemaRefs/>
</ds:datastoreItem>
</file>

<file path=docProps/app.xml><?xml version="1.0" encoding="utf-8"?>
<Properties xmlns="http://schemas.openxmlformats.org/officeDocument/2006/extended-properties" xmlns:vt="http://schemas.openxmlformats.org/officeDocument/2006/docPropsVTypes">
  <Template>Normal</Template>
  <Pages>37</Pages>
  <Words>14103</Words>
  <Characters>14923</Characters>
  <Lines>49</Lines>
  <Paragraphs>13</Paragraphs>
  <TotalTime>0</TotalTime>
  <ScaleCrop>false</ScaleCrop>
  <LinksUpToDate>false</LinksUpToDate>
  <CharactersWithSpaces>15257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2020-01-26T00:42:00Z</dcterms:created>
  <dc:creator>ThinkPad</dc:creator>
  <cp:lastModifiedBy>Administrator</cp:lastModifiedBy>
  <cp:lastPrinted>2020-02-09T09:30:00Z</cp:lastPrinted>
  <dcterms:modified xsi:type="dcterms:W3CDTF">2024-02-06T09:50:55Z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1EA3F3B1C2B84DE0A429A2C16776674E_13</vt:lpwstr>
  </property>
</Properties>
</file>