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塔城市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1-2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月经济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要情（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可提供下载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48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一、固定资产投资。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全市固定资产投资完成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0.39亿元，同比增长3.3%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二、工业经济。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1-2月，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规模以上工业完成工业增加值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0.12亿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同比增长70.3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社会消费品零售总额。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全市限额以上实现社会消费品零售总额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1.03亿元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楷体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贸进出口。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1-2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进出口总额实现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6223.52万美元，同比下降49.436%。其中：进口额6581.03万美元（含边民互市进口额798.89万美元），同比增长546.36%；出口额5196.96美元，同比下降57.22%。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五、招商工作。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1-2月，全市招商到位0.83亿元,同比增长3.4%。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六、旅游业。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累计接待国内游客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52.29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9.69</w:t>
      </w:r>
      <w:r>
        <w:rPr>
          <w:rFonts w:hint="eastAsia" w:ascii="仿宋_GB2312" w:hAnsi="仿宋_GB2312" w:eastAsia="仿宋_GB2312" w:cs="仿宋_GB2312"/>
          <w:sz w:val="32"/>
          <w:szCs w:val="32"/>
        </w:rPr>
        <w:t>%；实现旅游收入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亿元,同比增长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七、财政收支。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0.95亿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18.46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4.79亿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23.86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八、金融市场。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1-2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月，全市金融机构存款余额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233.68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下降8.18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%；贷款余额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194.1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9.99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bookmarkEnd w:id="0"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C8E"/>
    <w:rsid w:val="007C1524"/>
    <w:rsid w:val="01DF52EC"/>
    <w:rsid w:val="1535622C"/>
    <w:rsid w:val="1903775E"/>
    <w:rsid w:val="1D130A8D"/>
    <w:rsid w:val="1D1F4A7E"/>
    <w:rsid w:val="2222519A"/>
    <w:rsid w:val="36A500EA"/>
    <w:rsid w:val="3A6C759E"/>
    <w:rsid w:val="47807C8E"/>
    <w:rsid w:val="50D421F5"/>
    <w:rsid w:val="523D48B3"/>
    <w:rsid w:val="653302AB"/>
    <w:rsid w:val="7DC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szCs w:val="20"/>
      <w:lang w:eastAsia="en-US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2023-10-14T11:31:00Z</dcterms:created>
  <dc:creator>Administrator</dc:creator>
  <cp:lastModifiedBy>Administrator</cp:lastModifiedBy>
  <dcterms:modified xsi:type="dcterms:W3CDTF">2024-03-22T10:06:44Z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